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67957" w:rsidTr="00267957">
        <w:tc>
          <w:tcPr>
            <w:tcW w:w="9570" w:type="dxa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267957" w:rsidRDefault="00267957" w:rsidP="00267957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67957" w:rsidTr="0026795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957" w:rsidRDefault="0095421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24.</w:t>
            </w:r>
            <w:r w:rsidR="00FB773B">
              <w:rPr>
                <w:rFonts w:ascii="Times New Roman" w:hAnsi="Times New Roman" w:cs="Times New Roman"/>
                <w:bCs/>
                <w:sz w:val="28"/>
              </w:rPr>
              <w:t>06.2021г.</w:t>
            </w:r>
          </w:p>
        </w:tc>
        <w:tc>
          <w:tcPr>
            <w:tcW w:w="3190" w:type="dxa"/>
            <w:vAlign w:val="bottom"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7957" w:rsidRDefault="00AC5719" w:rsidP="00FB77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5/39-5</w:t>
            </w:r>
          </w:p>
        </w:tc>
      </w:tr>
      <w:tr w:rsidR="00267957" w:rsidTr="0026795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267957" w:rsidRDefault="0026795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7957" w:rsidRDefault="00267957" w:rsidP="00267957">
      <w:pPr>
        <w:pStyle w:val="a3"/>
        <w:jc w:val="both"/>
        <w:rPr>
          <w:sz w:val="28"/>
        </w:rPr>
      </w:pP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 представляемых кандидатами, избирательными объединениями в территориальную избирательную комиссию 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</w:t>
      </w:r>
    </w:p>
    <w:p w:rsidR="00F24ADF" w:rsidRDefault="00F24ADF" w:rsidP="00F24ADF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F24ADF" w:rsidRDefault="00F24ADF" w:rsidP="00F24ADF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</w:t>
      </w:r>
      <w:r w:rsidR="00D0196F" w:rsidRPr="00D0196F">
        <w:rPr>
          <w:sz w:val="28"/>
          <w:szCs w:val="28"/>
        </w:rPr>
        <w:t xml:space="preserve"> </w:t>
      </w:r>
      <w:r w:rsidR="00D0196F">
        <w:rPr>
          <w:sz w:val="28"/>
          <w:szCs w:val="28"/>
        </w:rPr>
        <w:t>статьей 26,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21,22,32,34, пунктами 2, 3 статьи 35  Избирательного кодекса Тверской области от 07.04.2003 №20-ЗО</w:t>
      </w:r>
      <w:r>
        <w:rPr>
          <w:b/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rStyle w:val="a7"/>
          <w:sz w:val="28"/>
          <w:szCs w:val="28"/>
        </w:rPr>
        <w:t> </w:t>
      </w:r>
      <w:r>
        <w:rPr>
          <w:sz w:val="28"/>
          <w:szCs w:val="28"/>
        </w:rPr>
        <w:t xml:space="preserve"> на основании пункта 2.1 Методических рекомендаций по вопросам, связанным с выдвижением и регистрацией кандидатов, </w:t>
      </w:r>
      <w:proofErr w:type="gramStart"/>
      <w:r>
        <w:rPr>
          <w:sz w:val="28"/>
          <w:szCs w:val="28"/>
        </w:rPr>
        <w:t>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 235/1486-6, постановления избирательной комиссии Тверской области от 29.04.2021 года №219/2993-6 «</w:t>
      </w:r>
      <w:r>
        <w:rPr>
          <w:bCs/>
          <w:sz w:val="28"/>
          <w:szCs w:val="28"/>
        </w:rPr>
        <w:t>О возложении полномочий окружной избирательной комиссии  Бежецкого избирательного округа № 16 по выборам депутатов Законодательного Собрания Тверской области седьмого созыва на территориальную избирательную комиссию</w:t>
      </w:r>
      <w:proofErr w:type="gramEnd"/>
      <w:r>
        <w:rPr>
          <w:bCs/>
          <w:sz w:val="28"/>
          <w:szCs w:val="28"/>
        </w:rPr>
        <w:t xml:space="preserve">  Бежецкого района Тверской области</w:t>
      </w:r>
      <w:r>
        <w:rPr>
          <w:sz w:val="28"/>
          <w:szCs w:val="28"/>
        </w:rPr>
        <w:t xml:space="preserve">» от </w:t>
      </w:r>
      <w:r>
        <w:rPr>
          <w:bCs/>
          <w:sz w:val="28"/>
        </w:rPr>
        <w:t xml:space="preserve">18июня 2021 года №5/47-7 «О возложении полномочий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района», </w:t>
      </w:r>
      <w:r>
        <w:rPr>
          <w:sz w:val="28"/>
          <w:szCs w:val="28"/>
        </w:rPr>
        <w:t xml:space="preserve"> территориальная избирательная комиссия   Бежецкого района </w:t>
      </w:r>
      <w:r>
        <w:rPr>
          <w:rStyle w:val="a7"/>
          <w:sz w:val="28"/>
          <w:szCs w:val="28"/>
        </w:rPr>
        <w:t>постановляет:</w:t>
      </w:r>
    </w:p>
    <w:p w:rsidR="00F24ADF" w:rsidRDefault="00F24ADF" w:rsidP="00F24ADF">
      <w:pPr>
        <w:pStyle w:val="ConsTitle"/>
        <w:numPr>
          <w:ilvl w:val="0"/>
          <w:numId w:val="2"/>
        </w:numPr>
        <w:spacing w:line="360" w:lineRule="auto"/>
        <w:ind w:left="0" w:right="0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Утвердить положение о рабочей группе по  приему и проверке документов,  представляемых кандидатами, избирательными объединениями в территориальную избирательную комиссию  Бежецкого района (приложение 1).</w:t>
      </w:r>
    </w:p>
    <w:p w:rsidR="00F24ADF" w:rsidRDefault="00F24ADF" w:rsidP="00F24ADF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состав Рабочей группы по приему и проверке документов, представляемых кандидатами, избирательными объединениями в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 Бежецкого района (приложение 2).</w:t>
      </w:r>
    </w:p>
    <w:p w:rsidR="00F24ADF" w:rsidRDefault="00F24ADF" w:rsidP="00F24ADF">
      <w:pPr>
        <w:pStyle w:val="ConsNormal"/>
        <w:spacing w:line="360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 Бежецкого района в информационно-телекоммуникационной сети «Интернет».</w:t>
      </w:r>
    </w:p>
    <w:p w:rsidR="00F24ADF" w:rsidRDefault="00F24ADF" w:rsidP="00F24AD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F24ADF" w:rsidRDefault="00F24ADF" w:rsidP="00F24AD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F24ADF" w:rsidTr="00F24ADF">
        <w:tc>
          <w:tcPr>
            <w:tcW w:w="4248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</w:t>
            </w:r>
          </w:p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территориальной избирательной комиссии  Бежецкого района</w:t>
            </w:r>
          </w:p>
        </w:tc>
        <w:tc>
          <w:tcPr>
            <w:tcW w:w="2880" w:type="dxa"/>
            <w:vAlign w:val="bottom"/>
          </w:tcPr>
          <w:p w:rsidR="00F24ADF" w:rsidRDefault="00F24A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F24ADF" w:rsidTr="00F24ADF">
        <w:tc>
          <w:tcPr>
            <w:tcW w:w="4248" w:type="dxa"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24ADF" w:rsidTr="00F24ADF">
        <w:tc>
          <w:tcPr>
            <w:tcW w:w="4248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</w:p>
          <w:p w:rsidR="00F24ADF" w:rsidRDefault="00F24A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2880" w:type="dxa"/>
            <w:vAlign w:val="bottom"/>
          </w:tcPr>
          <w:p w:rsidR="00F24ADF" w:rsidRDefault="00F24A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24ADF" w:rsidRDefault="00F24A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В.П.Смирнова</w:t>
            </w:r>
          </w:p>
        </w:tc>
      </w:tr>
    </w:tbl>
    <w:p w:rsidR="00F24ADF" w:rsidRDefault="00F24ADF" w:rsidP="00F24ADF">
      <w:pPr>
        <w:rPr>
          <w:rFonts w:ascii="Calibri" w:eastAsia="Calibri" w:hAnsi="Calibri"/>
          <w:lang w:eastAsia="en-US"/>
        </w:rPr>
      </w:pPr>
    </w:p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p w:rsidR="00F24ADF" w:rsidRDefault="00F24ADF" w:rsidP="00F24ADF"/>
    <w:tbl>
      <w:tblPr>
        <w:tblW w:w="0" w:type="auto"/>
        <w:tblInd w:w="4308" w:type="dxa"/>
        <w:tblLook w:val="01E0"/>
      </w:tblPr>
      <w:tblGrid>
        <w:gridCol w:w="4920"/>
      </w:tblGrid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Приложение 1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lastRenderedPageBreak/>
              <w:t>УТВЕРЖДЕНО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Style w:val="FontStyle2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F24ADF" w:rsidRDefault="00F24ADF">
            <w:pPr>
              <w:spacing w:after="0" w:line="240" w:lineRule="auto"/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Бежецкого района</w:t>
            </w:r>
          </w:p>
          <w:p w:rsidR="00F24ADF" w:rsidRDefault="00F24ADF">
            <w:pPr>
              <w:spacing w:after="0" w:line="240" w:lineRule="auto"/>
              <w:jc w:val="center"/>
              <w:rPr>
                <w:rStyle w:val="FontStyle17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 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Style w:val="FontStyle2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от 24 июня 2021 г. № </w:t>
            </w:r>
            <w:r w:rsidR="00AC5719">
              <w:rPr>
                <w:rFonts w:ascii="Times New Roman" w:hAnsi="Times New Roman" w:cs="Times New Roman"/>
                <w:bCs/>
                <w:sz w:val="28"/>
              </w:rPr>
              <w:t>5/39-5</w:t>
            </w:r>
          </w:p>
        </w:tc>
      </w:tr>
    </w:tbl>
    <w:p w:rsidR="00F24ADF" w:rsidRDefault="00F24ADF" w:rsidP="00F24A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ADF" w:rsidRDefault="00F24ADF" w:rsidP="00F24A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 представляемых кандидатами, избирательными объединениями в территориальную избирательную комиссию 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</w:t>
      </w:r>
    </w:p>
    <w:p w:rsidR="00F24ADF" w:rsidRDefault="00F24ADF" w:rsidP="00F24ADF">
      <w:pPr>
        <w:spacing w:before="240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Настоящее положение о Рабочей группе по приему и проверке документов, представляемых кандидатами, избирательными объединениями в территориальную избирательную комиссию  Бежецкого района определяет порядок работы Рабочей группы по приему и проверке документов, представляемых кандидатами, избирательными объединениями в территориальную избирательную комиссию  Бежецкого района (далее – Рабочая группа) с избирательными документами, представляемыми кандидатами и избирательными объединениями </w:t>
      </w:r>
      <w:r>
        <w:rPr>
          <w:rFonts w:ascii="Times New Roman" w:eastAsia="Times New Roman" w:hAnsi="Times New Roman"/>
          <w:sz w:val="28"/>
          <w:szCs w:val="28"/>
        </w:rPr>
        <w:br/>
        <w:t>в территориальную избирательную комиссию  Бежецкого района (далее – Комиссия) 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выборов всех уровней на территории  Бежецкого района.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постановлениями  избирательной комиссии Тверской области от 29.04.2021 года №219/2993-6,от </w:t>
      </w:r>
      <w:r>
        <w:rPr>
          <w:rFonts w:ascii="Times New Roman" w:hAnsi="Times New Roman"/>
          <w:bCs/>
          <w:sz w:val="28"/>
          <w:szCs w:val="28"/>
        </w:rPr>
        <w:t xml:space="preserve">18июня 2021 года №5/47-7 </w:t>
      </w:r>
      <w:r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 Бежецкого района возложены полномочия  </w:t>
      </w:r>
      <w:r>
        <w:rPr>
          <w:rFonts w:ascii="Times New Roman" w:hAnsi="Times New Roman"/>
          <w:bCs/>
          <w:sz w:val="28"/>
          <w:szCs w:val="28"/>
        </w:rPr>
        <w:t>окружной избирательной комиссии  Бежецкого избирательного округа № 1</w:t>
      </w:r>
      <w:r w:rsidR="00D0196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по выборам депутатов Законодательного Собрания Тверской области седьмого созыва и избирательной комиссии муниципального образования по выборам депутатов Совета депутатов Шишковского сельского поселения Бежецкого района Тверской области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второго созыва.</w:t>
      </w:r>
    </w:p>
    <w:p w:rsidR="00F24ADF" w:rsidRDefault="00F24ADF" w:rsidP="00F24ADF">
      <w:pPr>
        <w:pStyle w:val="consnonforma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Рабочая группа в своей деятельности руководствуется федеральными законами от 12.06.2002 №67-ФЗ «Об основных гарантиях </w:t>
      </w:r>
      <w:r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 (далее – Федеральный закон №67-ФЗ), от 27.07.2006 </w:t>
      </w:r>
      <w:r>
        <w:rPr>
          <w:sz w:val="28"/>
          <w:szCs w:val="28"/>
        </w:rPr>
        <w:br/>
        <w:t xml:space="preserve">№152-ФЗ «О персональных данных», от 10.01.2003 №20-ФЗ </w:t>
      </w:r>
      <w:r>
        <w:rPr>
          <w:sz w:val="28"/>
          <w:szCs w:val="28"/>
        </w:rPr>
        <w:br/>
        <w:t xml:space="preserve">«О Государственной автоматизированной системе Российской Федерации «Выборы», иными федеральными законами, постановлением избирательной комиссии Тверской области от 02.06.2021 №2/15-7 </w:t>
      </w:r>
      <w:r>
        <w:rPr>
          <w:sz w:val="28"/>
          <w:szCs w:val="28"/>
        </w:rPr>
        <w:br/>
        <w:t>«</w:t>
      </w:r>
      <w:r>
        <w:rPr>
          <w:bCs/>
          <w:sz w:val="28"/>
          <w:szCs w:val="28"/>
        </w:rPr>
        <w:t>О Перечне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формах документов, представляемых кандидатами, уполномоченными представителями избирательных объединений </w:t>
      </w:r>
      <w:r>
        <w:rPr>
          <w:bCs/>
          <w:sz w:val="28"/>
          <w:szCs w:val="28"/>
        </w:rPr>
        <w:br/>
        <w:t>в избирательные комиссии при проведении выборов депутатов Законодательного Собрания Тверской области седьмого созыва 19 сентября 2021 года</w:t>
      </w:r>
      <w:r>
        <w:rPr>
          <w:sz w:val="28"/>
          <w:szCs w:val="28"/>
        </w:rPr>
        <w:t>» (далее – постановление ИКТО),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года, иными нормативными актами Центральной избирательной комиссии Российской Федерации, Постановлением территориальной избирательной</w:t>
      </w:r>
      <w:proofErr w:type="gramEnd"/>
      <w:r>
        <w:rPr>
          <w:sz w:val="28"/>
          <w:szCs w:val="28"/>
        </w:rPr>
        <w:t xml:space="preserve"> комиссии Бежецкого района от 24.06.2021г.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D0196F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/</w:t>
      </w:r>
      <w:r w:rsidR="00D0196F">
        <w:rPr>
          <w:rFonts w:eastAsia="Calibri"/>
          <w:sz w:val="28"/>
          <w:szCs w:val="28"/>
          <w:lang w:eastAsia="en-US"/>
        </w:rPr>
        <w:t>36</w:t>
      </w:r>
      <w:r>
        <w:rPr>
          <w:rFonts w:eastAsia="Calibri"/>
          <w:sz w:val="28"/>
          <w:szCs w:val="28"/>
          <w:lang w:eastAsia="en-US"/>
        </w:rPr>
        <w:t>-5</w:t>
      </w:r>
      <w:proofErr w:type="gramStart"/>
      <w: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Бежецкого </w:t>
      </w:r>
      <w:proofErr w:type="spellStart"/>
      <w:r>
        <w:rPr>
          <w:sz w:val="28"/>
          <w:szCs w:val="28"/>
        </w:rPr>
        <w:t>районапри</w:t>
      </w:r>
      <w:proofErr w:type="spellEnd"/>
      <w:r>
        <w:rPr>
          <w:sz w:val="28"/>
          <w:szCs w:val="28"/>
        </w:rPr>
        <w:t xml:space="preserve"> проведении выборов депутатов Совета депутатов Шишковского сельского поселения Бежецкого района Тверской области второго созыва, настоящим Положением, Избирательным кодексом Тверской области от 07.04.2003 № 20-ЗО (далее – Кодекс).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организациями и учреждениями по представлениям, запросам и обращениям Комиссии.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участниках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избирательного процесса.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Рабочая группа организует работу по приему и проверке избирательных документов, представляемых кандидатами и избирательными объединениями, включая подписные листы с подписями избирателей, в Комиссию.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заседании Рабочей группы может вестись протокол заседания. Рабочая группа может изготавливать выписки из протокола заседания.</w:t>
      </w:r>
    </w:p>
    <w:p w:rsidR="00F24ADF" w:rsidRDefault="00F24ADF" w:rsidP="00F24A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1.8. Документы Рабочей группы передаются на архивное хранение в соответствии с установленным порядком. </w:t>
      </w:r>
    </w:p>
    <w:p w:rsidR="00F24ADF" w:rsidRDefault="00F24ADF" w:rsidP="00AC5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Задачи и полномочия</w:t>
      </w:r>
    </w:p>
    <w:p w:rsidR="00F24ADF" w:rsidRDefault="00F24ADF" w:rsidP="00F24AD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5719">
        <w:rPr>
          <w:rFonts w:ascii="Times New Roman" w:eastAsia="Times New Roman" w:hAnsi="Times New Roman"/>
          <w:bCs/>
          <w:sz w:val="28"/>
          <w:szCs w:val="28"/>
        </w:rPr>
        <w:t>2.1</w:t>
      </w:r>
      <w:r w:rsidR="00AC5719" w:rsidRPr="00AC5719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C5719">
        <w:rPr>
          <w:rFonts w:ascii="Times New Roman" w:eastAsia="Times New Roman" w:hAnsi="Times New Roman"/>
          <w:bCs/>
          <w:sz w:val="28"/>
          <w:szCs w:val="28"/>
        </w:rPr>
        <w:t>При проведении выборов депутатов Законодательного Собрания Тверской области седьмого созыва</w:t>
      </w:r>
      <w:r w:rsidR="00D0196F">
        <w:rPr>
          <w:rFonts w:ascii="Times New Roman" w:eastAsia="Times New Roman" w:hAnsi="Times New Roman"/>
          <w:bCs/>
          <w:sz w:val="28"/>
          <w:szCs w:val="28"/>
        </w:rPr>
        <w:t>,</w:t>
      </w:r>
      <w:r w:rsidRPr="00AC5719">
        <w:rPr>
          <w:rFonts w:ascii="Times New Roman" w:eastAsia="Times New Roman" w:hAnsi="Times New Roman"/>
          <w:bCs/>
          <w:sz w:val="28"/>
          <w:szCs w:val="28"/>
        </w:rPr>
        <w:t xml:space="preserve"> выборов депутатов Совета депутатов Шишковского сельского поселения Бежецкого района Тверской области  второго созыва:</w:t>
      </w:r>
    </w:p>
    <w:p w:rsidR="00F24ADF" w:rsidRDefault="00F24ADF" w:rsidP="00AC571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принимает документы, представляемые кандидатами, избирательными объединениями необходимые для выдвижения и регистрации списков кандидатов на выборах депутатов Совета депутатов Шишковского сельского поселения Бежецкого района Тверской области второго созыва, документы для выдвижения и регистрации  кандидатов, по выбытию кандидатов;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принимает и проверяет документы для регистрации уполномоченных представителей по финансовым вопросам и доверенных лиц кандидата;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проверяет наличие документов, представленных на бумажном носителе и в машиночитаемом виде в соответствии с Федеральным законом № 67-ФЗ, Кодексом и выдает кандидату, избирательному объединению подтверждение приема представленных документов;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проверяет достоверность сведений, представленных кандидатами избирательными объединениями;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направляет представления о проверке достоверности сведений, представленных кандидатами, избирательными объединениями в соответствующие компетентные органы и контролирует их исполнение;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готовит информацию о выявленных фактах недостоверности данных, представленных кандидатами, избирательными объединениями;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принимает от кандидатов, избирательных объединений подписные листы с подписями избирателей в поддержку выдвижения списка кандидатов; кандидата в депутаты.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проводит случайную выборку подписных листов с подписями избирателей в поддержку выдвижения списка кандидатов, кандидата в депутаты;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проводит проверку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соблюдения порядка сбора подписей избирателей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оформления подписных листов;</w:t>
      </w:r>
    </w:p>
    <w:p w:rsidR="00F24ADF" w:rsidRDefault="00F24ADF" w:rsidP="00F24ADF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подготавливает ведомости проверки подписных листов и итоговые протоколы проверки подписных листов.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Рабочая группа:</w:t>
      </w:r>
    </w:p>
    <w:p w:rsidR="00F24ADF" w:rsidRDefault="00F24ADF" w:rsidP="00F24A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готовит необходимые материалы в случае обжалования постановлений территориальной избирательной комиссии  Бежецкого района о регистрации либо отказе в регистрации кандидатов.</w:t>
      </w:r>
    </w:p>
    <w:p w:rsidR="00F24ADF" w:rsidRDefault="00F24ADF" w:rsidP="00F24A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готовит проекты постановлений Комиссии по направлениям деятельности Рабочей группы;</w:t>
      </w:r>
    </w:p>
    <w:p w:rsidR="00F24ADF" w:rsidRPr="00AC5719" w:rsidRDefault="00F24ADF" w:rsidP="00AC5719">
      <w:pPr>
        <w:spacing w:after="12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5719">
        <w:rPr>
          <w:rFonts w:ascii="Times New Roman" w:eastAsia="Times New Roman" w:hAnsi="Times New Roman"/>
          <w:b/>
          <w:sz w:val="28"/>
          <w:szCs w:val="28"/>
        </w:rPr>
        <w:t>3. Организация работы Рабочей группы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Руководитель Рабочей группы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организует работу Рабочей группы;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изучает и обобщает результаты деятельности Рабочей группы;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докладывает на заседании Комиссии о принятых Рабочей группой решениях.</w:t>
      </w:r>
    </w:p>
    <w:p w:rsidR="00F24ADF" w:rsidRDefault="00F24ADF" w:rsidP="00F24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 Ежедневный порядок работы группы определяется ее руководителем.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 Руководитель Рабочей группы, после получения от кандидата, уполномоченного представителя избирательного объединения сообщения о намерении представить избирательные документы в Комиссию, информирует об этом председателя территориальной избирательной комиссии  Бежецкого района и осуществляет координацию деятельности членов Рабочей группы при приеме и проверке избирательных документов.</w:t>
      </w:r>
    </w:p>
    <w:p w:rsidR="00F24ADF" w:rsidRDefault="00F24ADF" w:rsidP="00AC571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 Заседания Рабочей группы проводятся по решению руководителя Рабочей группы по мере необходимости.</w:t>
      </w:r>
    </w:p>
    <w:p w:rsidR="00F24ADF" w:rsidRDefault="00F24ADF" w:rsidP="00AC571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 Решения по всем вопросам, отнесенным к полномочиям Рабочей группой, принимаются простым большинством голосов ее членов, присутствующих на заседании Рабочей группы. При равенстве голосов голос руководителя Рабочей группы является решающим.</w:t>
      </w:r>
    </w:p>
    <w:p w:rsidR="00F24ADF" w:rsidRDefault="00F24ADF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 Решения Рабочей группы на заседаниях принимаются открытым голосованием.</w:t>
      </w: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AC5719" w:rsidRDefault="00AC5719" w:rsidP="00AC571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308" w:type="dxa"/>
        <w:tblLook w:val="01E0"/>
      </w:tblPr>
      <w:tblGrid>
        <w:gridCol w:w="4920"/>
      </w:tblGrid>
      <w:tr w:rsidR="00F24ADF" w:rsidRPr="00AC5719" w:rsidTr="00F24ADF">
        <w:tc>
          <w:tcPr>
            <w:tcW w:w="4920" w:type="dxa"/>
            <w:hideMark/>
          </w:tcPr>
          <w:p w:rsidR="00F24ADF" w:rsidRPr="00AC5719" w:rsidRDefault="00F24AD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C5719">
              <w:rPr>
                <w:rStyle w:val="FontStyle17"/>
                <w:sz w:val="28"/>
                <w:szCs w:val="28"/>
              </w:rPr>
              <w:lastRenderedPageBreak/>
              <w:t>Приложение 2</w:t>
            </w:r>
          </w:p>
        </w:tc>
      </w:tr>
      <w:tr w:rsidR="00F24ADF" w:rsidTr="00F24ADF">
        <w:tc>
          <w:tcPr>
            <w:tcW w:w="4920" w:type="dxa"/>
            <w:hideMark/>
          </w:tcPr>
          <w:p w:rsidR="00F24ADF" w:rsidRDefault="00F24ADF">
            <w:pPr>
              <w:spacing w:after="0" w:line="240" w:lineRule="auto"/>
              <w:jc w:val="center"/>
              <w:rPr>
                <w:rStyle w:val="FontStyle2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F24ADF" w:rsidRDefault="00F24ADF">
            <w:pPr>
              <w:spacing w:after="0" w:line="240" w:lineRule="auto"/>
              <w:jc w:val="center"/>
              <w:rPr>
                <w:rStyle w:val="FontStyle17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1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Бежецкого района </w:t>
            </w:r>
            <w:r>
              <w:rPr>
                <w:rStyle w:val="FontStyle21"/>
                <w:sz w:val="28"/>
                <w:szCs w:val="28"/>
              </w:rPr>
              <w:t>от 24 июня 2021 г. №5/18-5</w:t>
            </w:r>
          </w:p>
        </w:tc>
      </w:tr>
    </w:tbl>
    <w:p w:rsidR="00F24ADF" w:rsidRDefault="00F24ADF" w:rsidP="00F24AD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4ADF" w:rsidRDefault="00F24ADF" w:rsidP="00F24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по  приему и проверке документов, </w:t>
      </w:r>
    </w:p>
    <w:p w:rsidR="00F24ADF" w:rsidRDefault="00F24ADF" w:rsidP="00F24A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кандидатами, избирательными объединениями в территориальную избирательную комиссию </w:t>
      </w:r>
      <w:r>
        <w:rPr>
          <w:rFonts w:ascii="Times New Roman" w:hAnsi="Times New Roman"/>
          <w:b/>
          <w:sz w:val="28"/>
          <w:szCs w:val="28"/>
        </w:rPr>
        <w:t xml:space="preserve"> Бежецкого района</w:t>
      </w:r>
    </w:p>
    <w:p w:rsidR="00F24ADF" w:rsidRDefault="00F24ADF" w:rsidP="00F24A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961"/>
      </w:tblGrid>
      <w:tr w:rsidR="00F24ADF" w:rsidTr="00F24ADF">
        <w:trPr>
          <w:trHeight w:val="1631"/>
        </w:trPr>
        <w:tc>
          <w:tcPr>
            <w:tcW w:w="43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Брусницына Галина Константиновна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tabs>
                <w:tab w:val="left" w:pos="914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территориальной избирательной комиссии  Бежецкого района,  руководитель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F24ADF" w:rsidP="00F24ADF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Валентина Петровна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 Бежецкого района, заместитель руководителя рабочей группы 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Голубовский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голоса, член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Ляткова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Зинаида Васильевна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голоса, член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Садикова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Ольга Павловна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 голоса, член рабочей группы</w:t>
            </w:r>
          </w:p>
        </w:tc>
      </w:tr>
      <w:tr w:rsidR="00F24ADF" w:rsidTr="00F24ADF">
        <w:tc>
          <w:tcPr>
            <w:tcW w:w="4361" w:type="dxa"/>
            <w:hideMark/>
          </w:tcPr>
          <w:p w:rsidR="00F24ADF" w:rsidRDefault="00AC571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Спиридонова Зинаида Васильевна</w:t>
            </w:r>
          </w:p>
        </w:tc>
        <w:tc>
          <w:tcPr>
            <w:tcW w:w="4961" w:type="dxa"/>
            <w:hideMark/>
          </w:tcPr>
          <w:p w:rsidR="00F24ADF" w:rsidRDefault="00F24AD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 Бежецкого района с правом решающего голоса, член рабочей группы</w:t>
            </w:r>
          </w:p>
        </w:tc>
      </w:tr>
    </w:tbl>
    <w:p w:rsidR="00267957" w:rsidRDefault="00267957" w:rsidP="00267957">
      <w:pPr>
        <w:pStyle w:val="a3"/>
        <w:jc w:val="both"/>
        <w:rPr>
          <w:sz w:val="16"/>
        </w:rPr>
      </w:pPr>
    </w:p>
    <w:p w:rsidR="00267957" w:rsidRDefault="00267957" w:rsidP="00267957">
      <w:pPr>
        <w:pStyle w:val="a3"/>
        <w:jc w:val="both"/>
        <w:rPr>
          <w:sz w:val="16"/>
        </w:rPr>
      </w:pPr>
    </w:p>
    <w:tbl>
      <w:tblPr>
        <w:tblW w:w="9824" w:type="dxa"/>
        <w:tblLook w:val="04A0"/>
      </w:tblPr>
      <w:tblGrid>
        <w:gridCol w:w="4532"/>
        <w:gridCol w:w="240"/>
        <w:gridCol w:w="1928"/>
        <w:gridCol w:w="240"/>
        <w:gridCol w:w="2884"/>
      </w:tblGrid>
      <w:tr w:rsidR="00267957" w:rsidTr="00267957">
        <w:tc>
          <w:tcPr>
            <w:tcW w:w="4532" w:type="dxa"/>
            <w:hideMark/>
          </w:tcPr>
          <w:p w:rsidR="00267957" w:rsidRDefault="00267957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Председатель</w:t>
            </w:r>
          </w:p>
          <w:p w:rsidR="00267957" w:rsidRDefault="002679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67957" w:rsidRDefault="00267957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Е.В.Бахметова</w:t>
            </w:r>
            <w:proofErr w:type="spellEnd"/>
          </w:p>
        </w:tc>
      </w:tr>
      <w:tr w:rsidR="00267957" w:rsidTr="00267957">
        <w:tc>
          <w:tcPr>
            <w:tcW w:w="4532" w:type="dxa"/>
            <w:hideMark/>
          </w:tcPr>
          <w:p w:rsidR="00267957" w:rsidRDefault="002679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267957" w:rsidRDefault="0026795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267957" w:rsidRDefault="0026795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67957" w:rsidRDefault="00267957">
            <w:pPr>
              <w:snapToGrid w:val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В.П.Смирнова</w:t>
            </w:r>
          </w:p>
        </w:tc>
      </w:tr>
    </w:tbl>
    <w:p w:rsidR="00267957" w:rsidRDefault="00267957" w:rsidP="00267957">
      <w:pPr>
        <w:pStyle w:val="a3"/>
        <w:jc w:val="both"/>
        <w:rPr>
          <w:sz w:val="28"/>
        </w:rPr>
      </w:pPr>
    </w:p>
    <w:p w:rsidR="00267957" w:rsidRDefault="00267957" w:rsidP="00267957"/>
    <w:p w:rsidR="001E7C33" w:rsidRDefault="001E7C33"/>
    <w:sectPr w:rsidR="001E7C33" w:rsidSect="00AC5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3969"/>
    <w:multiLevelType w:val="hybridMultilevel"/>
    <w:tmpl w:val="A02AFAC4"/>
    <w:lvl w:ilvl="0" w:tplc="3CCE1E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E71E1"/>
    <w:multiLevelType w:val="singleLevel"/>
    <w:tmpl w:val="4E6622AA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7957"/>
    <w:rsid w:val="0016327E"/>
    <w:rsid w:val="001D31BF"/>
    <w:rsid w:val="001E7C33"/>
    <w:rsid w:val="00267957"/>
    <w:rsid w:val="0037792A"/>
    <w:rsid w:val="00485D1B"/>
    <w:rsid w:val="0067275A"/>
    <w:rsid w:val="00954215"/>
    <w:rsid w:val="00AC5719"/>
    <w:rsid w:val="00BA6223"/>
    <w:rsid w:val="00D0196F"/>
    <w:rsid w:val="00D20832"/>
    <w:rsid w:val="00DF7DF1"/>
    <w:rsid w:val="00F009B1"/>
    <w:rsid w:val="00F24ADF"/>
    <w:rsid w:val="00FB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2679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795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267957"/>
    <w:pPr>
      <w:keepNext/>
      <w:ind w:right="-1050"/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26795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67957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lock Text"/>
    <w:basedOn w:val="a"/>
    <w:semiHidden/>
    <w:unhideWhenUsed/>
    <w:rsid w:val="00F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24AD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F2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4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basedOn w:val="a"/>
    <w:rsid w:val="00F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24AD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F24ADF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qFormat/>
    <w:rsid w:val="00F24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2021-06-24T10:03:00Z</cp:lastPrinted>
  <dcterms:created xsi:type="dcterms:W3CDTF">2016-02-01T07:34:00Z</dcterms:created>
  <dcterms:modified xsi:type="dcterms:W3CDTF">2021-06-25T07:09:00Z</dcterms:modified>
</cp:coreProperties>
</file>