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3" w:type="dxa"/>
        <w:tblInd w:w="3818" w:type="dxa"/>
        <w:tblLook w:val="04A0"/>
      </w:tblPr>
      <w:tblGrid>
        <w:gridCol w:w="5533"/>
      </w:tblGrid>
      <w:tr w:rsidR="005F4C82" w:rsidTr="005F4C82">
        <w:tc>
          <w:tcPr>
            <w:tcW w:w="5533" w:type="dxa"/>
            <w:hideMark/>
          </w:tcPr>
          <w:p w:rsidR="005F4C82" w:rsidRDefault="005F4C82"/>
        </w:tc>
      </w:tr>
      <w:tr w:rsidR="005F4C82" w:rsidTr="005F4C82">
        <w:tc>
          <w:tcPr>
            <w:tcW w:w="5533" w:type="dxa"/>
            <w:hideMark/>
          </w:tcPr>
          <w:p w:rsidR="005F4C82" w:rsidRDefault="005F4C82"/>
        </w:tc>
      </w:tr>
      <w:tr w:rsidR="005F4C82" w:rsidTr="005F4C82">
        <w:tc>
          <w:tcPr>
            <w:tcW w:w="5533" w:type="dxa"/>
            <w:hideMark/>
          </w:tcPr>
          <w:p w:rsidR="005F4C82" w:rsidRDefault="005F4C82"/>
        </w:tc>
      </w:tr>
    </w:tbl>
    <w:p w:rsidR="005F4C82" w:rsidRDefault="005F4C82" w:rsidP="005F4C82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5F4C82" w:rsidRDefault="005F4C82" w:rsidP="005F4C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БЕЖЕЦКОГО РАЙОНА</w:t>
      </w:r>
    </w:p>
    <w:p w:rsidR="005F4C82" w:rsidRDefault="005F4C82" w:rsidP="005F4C82">
      <w:pPr>
        <w:autoSpaceDN w:val="0"/>
        <w:spacing w:before="360" w:after="24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5F4C82" w:rsidTr="005F4C82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4C82" w:rsidRDefault="006F33EC" w:rsidP="005F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15.03.2022</w:t>
            </w:r>
          </w:p>
        </w:tc>
        <w:tc>
          <w:tcPr>
            <w:tcW w:w="3105" w:type="dxa"/>
            <w:vAlign w:val="bottom"/>
          </w:tcPr>
          <w:p w:rsidR="005F4C82" w:rsidRDefault="005F4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5F4C82" w:rsidRDefault="005F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4C82" w:rsidRDefault="006F33EC" w:rsidP="006F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5F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</w:t>
            </w:r>
            <w:r w:rsidR="005F4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F4C82" w:rsidTr="005F4C82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4C82" w:rsidRDefault="005F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  <w:hideMark/>
          </w:tcPr>
          <w:p w:rsidR="005F4C82" w:rsidRDefault="005F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Бежецк</w:t>
            </w:r>
          </w:p>
        </w:tc>
        <w:tc>
          <w:tcPr>
            <w:tcW w:w="3105" w:type="dxa"/>
            <w:gridSpan w:val="2"/>
            <w:vAlign w:val="bottom"/>
          </w:tcPr>
          <w:p w:rsidR="005F4C82" w:rsidRDefault="005F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F4C82" w:rsidRDefault="005F4C82" w:rsidP="005F4C82">
      <w:pPr>
        <w:pStyle w:val="2"/>
        <w:spacing w:before="240"/>
        <w:ind w:firstLine="0"/>
        <w:jc w:val="center"/>
        <w:rPr>
          <w:i/>
        </w:rPr>
      </w:pPr>
      <w:r>
        <w:t xml:space="preserve">О графике работы территориальной избирательной комиссии Бежецкого района </w:t>
      </w:r>
      <w:r w:rsidR="00D77B81">
        <w:t xml:space="preserve">Тверской области </w:t>
      </w:r>
      <w:r>
        <w:t xml:space="preserve">и участковых избирательных комиссий избирательных участков №№ </w:t>
      </w:r>
      <w:r w:rsidR="006F33EC">
        <w:t>51</w:t>
      </w:r>
      <w:r>
        <w:t>-5</w:t>
      </w:r>
      <w:r w:rsidR="006F33EC">
        <w:t>2</w:t>
      </w:r>
      <w:r>
        <w:t xml:space="preserve"> для проведения досрочного голосования на </w:t>
      </w:r>
      <w:r w:rsidR="006F33EC">
        <w:rPr>
          <w:rFonts w:eastAsia="Calibri"/>
          <w:lang w:eastAsia="en-US"/>
        </w:rPr>
        <w:t xml:space="preserve">дополнительных </w:t>
      </w:r>
      <w:r w:rsidR="006F33EC" w:rsidRPr="0009144A">
        <w:rPr>
          <w:rFonts w:eastAsia="Calibri"/>
          <w:lang w:eastAsia="en-US"/>
        </w:rPr>
        <w:t xml:space="preserve"> </w:t>
      </w:r>
      <w:r w:rsidR="006F33EC">
        <w:t xml:space="preserve">выборах депутатов </w:t>
      </w:r>
      <w:r w:rsidR="006F33EC" w:rsidRPr="005A2911">
        <w:t xml:space="preserve">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6F33EC" w:rsidRPr="005A2911">
        <w:t>Дороховскому</w:t>
      </w:r>
      <w:proofErr w:type="spellEnd"/>
      <w:r w:rsidR="006F33EC" w:rsidRPr="005A2911">
        <w:t xml:space="preserve"> </w:t>
      </w:r>
      <w:proofErr w:type="spellStart"/>
      <w:r w:rsidR="006F33EC" w:rsidRPr="005A2911">
        <w:t>шестимандатному</w:t>
      </w:r>
      <w:proofErr w:type="spellEnd"/>
      <w:r w:rsidR="006F33EC" w:rsidRPr="005A2911">
        <w:t xml:space="preserve"> избирательному округу №1 и по Филиппковскому </w:t>
      </w:r>
      <w:proofErr w:type="spellStart"/>
      <w:r w:rsidR="006F33EC" w:rsidRPr="005A2911">
        <w:t>четырехмандатному</w:t>
      </w:r>
      <w:proofErr w:type="spellEnd"/>
      <w:r w:rsidR="006F33EC" w:rsidRPr="005A2911">
        <w:t xml:space="preserve"> избирательному округу №2     </w:t>
      </w:r>
      <w:r w:rsidR="006F33EC">
        <w:rPr>
          <w:rFonts w:eastAsia="Calibri"/>
          <w:lang w:eastAsia="en-US"/>
        </w:rPr>
        <w:t>27 марта 2022 года</w:t>
      </w:r>
      <w:r w:rsidR="006F33EC" w:rsidRPr="005A2911">
        <w:rPr>
          <w:rFonts w:eastAsia="Calibri"/>
          <w:lang w:eastAsia="en-US"/>
        </w:rPr>
        <w:t xml:space="preserve">                                                                                      </w:t>
      </w:r>
    </w:p>
    <w:p w:rsidR="005F4C82" w:rsidRDefault="005F4C82" w:rsidP="005F4C82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положения пункта 3.1.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 статей 20, 61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Избирательного кодекса Тверской области от 07.04.2003 №20-ЗО, </w:t>
      </w:r>
      <w:r w:rsidRPr="005F4C82">
        <w:rPr>
          <w:rFonts w:ascii="Times New Roman" w:hAnsi="Times New Roman"/>
          <w:sz w:val="28"/>
        </w:rPr>
        <w:t>от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района»,</w:t>
      </w:r>
      <w:r>
        <w:rPr>
          <w:rFonts w:ascii="Times New Roman" w:hAnsi="Times New Roman"/>
          <w:sz w:val="28"/>
        </w:rPr>
        <w:t xml:space="preserve"> территориальная избирательная комиссия Бежецкого района 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pacing w:val="40"/>
          <w:sz w:val="28"/>
          <w:szCs w:val="28"/>
        </w:rPr>
        <w:t>:</w:t>
      </w:r>
    </w:p>
    <w:p w:rsidR="005F4C82" w:rsidRPr="00432C5C" w:rsidRDefault="005F4C82" w:rsidP="005F4C82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работы территориальной избирательной комиссии Бежецкого района для проведения досрочного голосования на </w:t>
      </w:r>
      <w:r w:rsidR="006F33EC" w:rsidRPr="006F33EC">
        <w:rPr>
          <w:rFonts w:ascii="Times New Roman" w:hAnsi="Times New Roman" w:cs="Times New Roman"/>
          <w:sz w:val="28"/>
          <w:szCs w:val="28"/>
        </w:rPr>
        <w:t xml:space="preserve">дополнительных 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6F33EC" w:rsidRPr="006F33EC">
        <w:rPr>
          <w:rFonts w:ascii="Times New Roman" w:hAnsi="Times New Roman" w:cs="Times New Roman"/>
          <w:sz w:val="28"/>
          <w:szCs w:val="28"/>
        </w:rPr>
        <w:t>Дороховскому</w:t>
      </w:r>
      <w:proofErr w:type="spellEnd"/>
      <w:r w:rsidR="006F33EC" w:rsidRPr="006F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3EC" w:rsidRPr="006F33EC">
        <w:rPr>
          <w:rFonts w:ascii="Times New Roman" w:hAnsi="Times New Roman" w:cs="Times New Roman"/>
          <w:sz w:val="28"/>
          <w:szCs w:val="28"/>
        </w:rPr>
        <w:t>шестимандатному</w:t>
      </w:r>
      <w:proofErr w:type="spellEnd"/>
      <w:r w:rsidR="006F33EC" w:rsidRPr="006F33EC">
        <w:rPr>
          <w:rFonts w:ascii="Times New Roman" w:hAnsi="Times New Roman" w:cs="Times New Roman"/>
          <w:sz w:val="28"/>
          <w:szCs w:val="28"/>
        </w:rPr>
        <w:t xml:space="preserve"> избирательному округу №1 и по </w:t>
      </w:r>
      <w:r w:rsidR="006F33EC" w:rsidRPr="006F33EC">
        <w:rPr>
          <w:rFonts w:ascii="Times New Roman" w:hAnsi="Times New Roman" w:cs="Times New Roman"/>
          <w:sz w:val="28"/>
          <w:szCs w:val="28"/>
        </w:rPr>
        <w:lastRenderedPageBreak/>
        <w:t xml:space="preserve">Филиппковскому </w:t>
      </w:r>
      <w:proofErr w:type="spellStart"/>
      <w:r w:rsidR="006F33EC" w:rsidRPr="006F33EC"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 w:rsidR="006F33EC" w:rsidRPr="006F33EC">
        <w:rPr>
          <w:rFonts w:ascii="Times New Roman" w:hAnsi="Times New Roman" w:cs="Times New Roman"/>
          <w:sz w:val="28"/>
          <w:szCs w:val="28"/>
        </w:rPr>
        <w:t xml:space="preserve"> избирательному округу №2     27 марта 2022 года    </w:t>
      </w:r>
      <w:r>
        <w:rPr>
          <w:rFonts w:ascii="Times New Roman" w:hAnsi="Times New Roman"/>
          <w:sz w:val="28"/>
        </w:rPr>
        <w:t>(приложение №1).</w:t>
      </w:r>
    </w:p>
    <w:p w:rsidR="005F4C82" w:rsidRPr="00432C5C" w:rsidRDefault="005F4C82" w:rsidP="00432C5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C5C">
        <w:rPr>
          <w:rFonts w:ascii="Times New Roman" w:hAnsi="Times New Roman"/>
          <w:sz w:val="28"/>
        </w:rPr>
        <w:t xml:space="preserve">Утвердить график работы участковых избирательных комиссий избирательных участков №№ </w:t>
      </w:r>
      <w:r w:rsidR="006F33EC">
        <w:rPr>
          <w:rFonts w:ascii="Times New Roman" w:hAnsi="Times New Roman"/>
          <w:sz w:val="28"/>
        </w:rPr>
        <w:t>51</w:t>
      </w:r>
      <w:r w:rsidRPr="00432C5C">
        <w:rPr>
          <w:rFonts w:ascii="Times New Roman" w:hAnsi="Times New Roman"/>
          <w:sz w:val="28"/>
        </w:rPr>
        <w:t>-5</w:t>
      </w:r>
      <w:r w:rsidR="006F33EC">
        <w:rPr>
          <w:rFonts w:ascii="Times New Roman" w:hAnsi="Times New Roman"/>
          <w:sz w:val="28"/>
        </w:rPr>
        <w:t>2</w:t>
      </w:r>
      <w:r w:rsidRPr="00432C5C">
        <w:rPr>
          <w:rFonts w:ascii="Times New Roman" w:hAnsi="Times New Roman"/>
          <w:i/>
          <w:sz w:val="28"/>
        </w:rPr>
        <w:t xml:space="preserve"> </w:t>
      </w:r>
      <w:r w:rsidRPr="00432C5C">
        <w:rPr>
          <w:rFonts w:ascii="Times New Roman" w:hAnsi="Times New Roman"/>
          <w:sz w:val="28"/>
        </w:rPr>
        <w:t xml:space="preserve">для проведения досрочного голосования на </w:t>
      </w:r>
      <w:r w:rsidR="006F33EC" w:rsidRPr="006F33EC">
        <w:rPr>
          <w:rFonts w:ascii="Times New Roman" w:hAnsi="Times New Roman"/>
          <w:sz w:val="28"/>
        </w:rPr>
        <w:t xml:space="preserve">дополнительных 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6F33EC" w:rsidRPr="006F33EC">
        <w:rPr>
          <w:rFonts w:ascii="Times New Roman" w:hAnsi="Times New Roman"/>
          <w:sz w:val="28"/>
        </w:rPr>
        <w:t>Дороховскому</w:t>
      </w:r>
      <w:proofErr w:type="spellEnd"/>
      <w:r w:rsidR="006F33EC" w:rsidRPr="006F33EC">
        <w:rPr>
          <w:rFonts w:ascii="Times New Roman" w:hAnsi="Times New Roman"/>
          <w:sz w:val="28"/>
        </w:rPr>
        <w:t xml:space="preserve"> </w:t>
      </w:r>
      <w:proofErr w:type="spellStart"/>
      <w:r w:rsidR="006F33EC" w:rsidRPr="006F33EC">
        <w:rPr>
          <w:rFonts w:ascii="Times New Roman" w:hAnsi="Times New Roman"/>
          <w:sz w:val="28"/>
        </w:rPr>
        <w:t>шестимандатному</w:t>
      </w:r>
      <w:proofErr w:type="spellEnd"/>
      <w:r w:rsidR="006F33EC" w:rsidRPr="006F33EC">
        <w:rPr>
          <w:rFonts w:ascii="Times New Roman" w:hAnsi="Times New Roman"/>
          <w:sz w:val="28"/>
        </w:rPr>
        <w:t xml:space="preserve"> избирательному округу №1 и по Филиппковскому </w:t>
      </w:r>
      <w:proofErr w:type="spellStart"/>
      <w:r w:rsidR="006F33EC" w:rsidRPr="006F33EC">
        <w:rPr>
          <w:rFonts w:ascii="Times New Roman" w:hAnsi="Times New Roman"/>
          <w:sz w:val="28"/>
        </w:rPr>
        <w:t>четырехмандатному</w:t>
      </w:r>
      <w:proofErr w:type="spellEnd"/>
      <w:r w:rsidR="006F33EC" w:rsidRPr="006F33EC">
        <w:rPr>
          <w:rFonts w:ascii="Times New Roman" w:hAnsi="Times New Roman"/>
          <w:sz w:val="28"/>
        </w:rPr>
        <w:t xml:space="preserve"> избирательному округу №2     27 марта 2022 года   </w:t>
      </w:r>
      <w:r w:rsidRPr="00432C5C">
        <w:rPr>
          <w:rFonts w:ascii="Times New Roman" w:hAnsi="Times New Roman"/>
          <w:sz w:val="28"/>
        </w:rPr>
        <w:t>(приложение №2).</w:t>
      </w:r>
    </w:p>
    <w:p w:rsidR="005F4C82" w:rsidRPr="00432C5C" w:rsidRDefault="005F4C82" w:rsidP="00432C5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C5C"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№№ </w:t>
      </w:r>
      <w:r w:rsidR="006F33EC">
        <w:rPr>
          <w:rFonts w:ascii="Times New Roman" w:hAnsi="Times New Roman"/>
          <w:sz w:val="28"/>
        </w:rPr>
        <w:t>51</w:t>
      </w:r>
      <w:r w:rsidR="00432C5C">
        <w:rPr>
          <w:rFonts w:ascii="Times New Roman" w:hAnsi="Times New Roman"/>
          <w:sz w:val="28"/>
        </w:rPr>
        <w:t>-5</w:t>
      </w:r>
      <w:r w:rsidR="006F33EC">
        <w:rPr>
          <w:rFonts w:ascii="Times New Roman" w:hAnsi="Times New Roman"/>
          <w:sz w:val="28"/>
        </w:rPr>
        <w:t>2</w:t>
      </w:r>
      <w:r w:rsidR="00432C5C">
        <w:rPr>
          <w:rFonts w:ascii="Times New Roman" w:hAnsi="Times New Roman"/>
          <w:sz w:val="28"/>
        </w:rPr>
        <w:t>.</w:t>
      </w:r>
    </w:p>
    <w:p w:rsidR="005F4C82" w:rsidRPr="006F33EC" w:rsidRDefault="005F4C82" w:rsidP="00432C5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C5C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 w:rsidRPr="00432C5C">
        <w:rPr>
          <w:rFonts w:ascii="Times New Roman" w:hAnsi="Times New Roman"/>
          <w:sz w:val="28"/>
        </w:rPr>
        <w:t xml:space="preserve"> на председателя территориальной избирательной комиссии Бежецкого района  Е.В. </w:t>
      </w:r>
      <w:proofErr w:type="spellStart"/>
      <w:r w:rsidRPr="00432C5C">
        <w:rPr>
          <w:rFonts w:ascii="Times New Roman" w:hAnsi="Times New Roman"/>
          <w:sz w:val="28"/>
        </w:rPr>
        <w:t>Бахметову</w:t>
      </w:r>
      <w:proofErr w:type="spellEnd"/>
      <w:r w:rsidRPr="00432C5C">
        <w:rPr>
          <w:rFonts w:ascii="Times New Roman" w:hAnsi="Times New Roman"/>
          <w:i/>
          <w:sz w:val="28"/>
        </w:rPr>
        <w:t>.</w:t>
      </w:r>
    </w:p>
    <w:p w:rsidR="005F4C82" w:rsidRPr="006F33EC" w:rsidRDefault="005F4C82" w:rsidP="006F33E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EC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5F4C82" w:rsidTr="005F4C82">
        <w:tc>
          <w:tcPr>
            <w:tcW w:w="4296" w:type="dxa"/>
            <w:hideMark/>
          </w:tcPr>
          <w:p w:rsidR="005F4C82" w:rsidRDefault="005F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Председатель</w:t>
            </w:r>
          </w:p>
          <w:p w:rsidR="005F4C82" w:rsidRDefault="005F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5F4C82" w:rsidRDefault="005F4C8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5F4C82" w:rsidRDefault="005F4C8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F4C82" w:rsidRDefault="005F4C8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  <w:hideMark/>
          </w:tcPr>
          <w:p w:rsidR="005F4C82" w:rsidRDefault="005F4C82">
            <w:pPr>
              <w:snapToGrid w:val="0"/>
              <w:spacing w:after="0" w:line="240" w:lineRule="auto"/>
              <w:ind w:firstLine="384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5F4C82" w:rsidTr="005F4C82">
        <w:tc>
          <w:tcPr>
            <w:tcW w:w="4296" w:type="dxa"/>
          </w:tcPr>
          <w:p w:rsidR="005F4C82" w:rsidRDefault="005F4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F4C82" w:rsidRDefault="005F4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5F4C82" w:rsidRDefault="005F4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F4C82" w:rsidRDefault="005F4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8" w:type="dxa"/>
          </w:tcPr>
          <w:p w:rsidR="005F4C82" w:rsidRDefault="005F4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4C82" w:rsidTr="005F4C82">
        <w:tc>
          <w:tcPr>
            <w:tcW w:w="4296" w:type="dxa"/>
            <w:hideMark/>
          </w:tcPr>
          <w:p w:rsidR="005F4C82" w:rsidRDefault="005F4C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Секретарь</w:t>
            </w:r>
          </w:p>
          <w:p w:rsidR="005F4C82" w:rsidRDefault="005F4C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5F4C82" w:rsidRDefault="005F4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5F4C82" w:rsidRDefault="005F4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F4C82" w:rsidRDefault="005F4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  <w:hideMark/>
          </w:tcPr>
          <w:p w:rsidR="005F4C82" w:rsidRDefault="005F4C8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В.П.Смирнова</w:t>
            </w:r>
          </w:p>
        </w:tc>
      </w:tr>
    </w:tbl>
    <w:p w:rsidR="005F4C82" w:rsidRDefault="005F4C82" w:rsidP="005F4C82">
      <w:pPr>
        <w:spacing w:after="0"/>
        <w:sectPr w:rsidR="005F4C8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3"/>
        <w:tblW w:w="6095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5F4C82" w:rsidTr="005F4C82">
        <w:tc>
          <w:tcPr>
            <w:tcW w:w="6095" w:type="dxa"/>
            <w:hideMark/>
          </w:tcPr>
          <w:p w:rsidR="005F4C82" w:rsidRDefault="005F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5F4C82" w:rsidTr="005F4C82">
        <w:tc>
          <w:tcPr>
            <w:tcW w:w="6095" w:type="dxa"/>
            <w:hideMark/>
          </w:tcPr>
          <w:p w:rsidR="005F4C82" w:rsidRDefault="005F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F4C82" w:rsidTr="005F4C82">
        <w:tc>
          <w:tcPr>
            <w:tcW w:w="6095" w:type="dxa"/>
            <w:hideMark/>
          </w:tcPr>
          <w:p w:rsidR="005F4C82" w:rsidRDefault="005F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5F4C82" w:rsidTr="005F4C82">
        <w:tc>
          <w:tcPr>
            <w:tcW w:w="6095" w:type="dxa"/>
            <w:hideMark/>
          </w:tcPr>
          <w:p w:rsidR="005F4C82" w:rsidRDefault="005F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Бежецкого района</w:t>
            </w:r>
          </w:p>
        </w:tc>
      </w:tr>
      <w:tr w:rsidR="005F4C82" w:rsidTr="005F4C82">
        <w:tc>
          <w:tcPr>
            <w:tcW w:w="6095" w:type="dxa"/>
            <w:hideMark/>
          </w:tcPr>
          <w:p w:rsidR="005F4C82" w:rsidRDefault="005F4C82" w:rsidP="006F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F33EC">
              <w:rPr>
                <w:rFonts w:ascii="Times New Roman" w:hAnsi="Times New Roman"/>
                <w:sz w:val="28"/>
                <w:szCs w:val="28"/>
              </w:rPr>
              <w:t>15.03.2022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1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33/236-5</w:t>
            </w:r>
          </w:p>
        </w:tc>
      </w:tr>
    </w:tbl>
    <w:p w:rsidR="005F4C82" w:rsidRDefault="005F4C82" w:rsidP="005F4C82">
      <w:pPr>
        <w:spacing w:before="360" w:after="0" w:line="240" w:lineRule="auto"/>
        <w:ind w:left="709"/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</w:rPr>
        <w:t xml:space="preserve">График работы </w:t>
      </w:r>
    </w:p>
    <w:p w:rsidR="005F4C82" w:rsidRDefault="005F4C82" w:rsidP="005F4C82">
      <w:pPr>
        <w:pStyle w:val="2"/>
        <w:spacing w:before="240"/>
        <w:ind w:firstLine="0"/>
        <w:jc w:val="center"/>
      </w:pPr>
      <w:r>
        <w:t xml:space="preserve">территориальной избирательной комиссии Бежецкого района для проведения досрочного голосования на </w:t>
      </w:r>
      <w:proofErr w:type="spellStart"/>
      <w:r w:rsidR="000143DC" w:rsidRPr="00432C5C">
        <w:t>на</w:t>
      </w:r>
      <w:proofErr w:type="spellEnd"/>
      <w:r w:rsidR="000143DC" w:rsidRPr="00432C5C">
        <w:t xml:space="preserve"> </w:t>
      </w:r>
      <w:r w:rsidR="000143DC" w:rsidRPr="006F33EC">
        <w:t xml:space="preserve">дополнительных 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0143DC" w:rsidRPr="006F33EC">
        <w:t>Дороховскому</w:t>
      </w:r>
      <w:proofErr w:type="spellEnd"/>
      <w:r w:rsidR="000143DC" w:rsidRPr="006F33EC">
        <w:t xml:space="preserve"> </w:t>
      </w:r>
      <w:proofErr w:type="spellStart"/>
      <w:r w:rsidR="000143DC" w:rsidRPr="006F33EC">
        <w:t>шестимандатному</w:t>
      </w:r>
      <w:proofErr w:type="spellEnd"/>
      <w:r w:rsidR="000143DC" w:rsidRPr="006F33EC">
        <w:t xml:space="preserve"> избирательному округу №1 и по Филиппковскому </w:t>
      </w:r>
      <w:proofErr w:type="spellStart"/>
      <w:r w:rsidR="000143DC" w:rsidRPr="006F33EC">
        <w:t>четырехмандатному</w:t>
      </w:r>
      <w:proofErr w:type="spellEnd"/>
      <w:r w:rsidR="000143DC" w:rsidRPr="006F33EC">
        <w:t xml:space="preserve"> избирательному округу №2     27 марта 2022 года   </w:t>
      </w:r>
    </w:p>
    <w:p w:rsidR="000143DC" w:rsidRDefault="000143DC" w:rsidP="005F4C82">
      <w:pPr>
        <w:pStyle w:val="2"/>
        <w:spacing w:before="240"/>
        <w:ind w:firstLine="0"/>
        <w:jc w:val="center"/>
      </w:pPr>
    </w:p>
    <w:p w:rsidR="005F4C82" w:rsidRDefault="005F4C82" w:rsidP="005F4C82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Бежецкого района в период с </w:t>
      </w:r>
      <w:r w:rsidR="000143DC">
        <w:rPr>
          <w:rFonts w:ascii="Times New Roman" w:hAnsi="Times New Roman"/>
          <w:sz w:val="28"/>
          <w:szCs w:val="28"/>
          <w:u w:val="single"/>
        </w:rPr>
        <w:t>19 марта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0143DC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  <w:u w:val="single"/>
        </w:rPr>
        <w:t xml:space="preserve"> года по </w:t>
      </w:r>
      <w:r w:rsidR="000143DC">
        <w:rPr>
          <w:rFonts w:ascii="Times New Roman" w:hAnsi="Times New Roman"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5098D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75098D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75098D">
        <w:rPr>
          <w:rFonts w:ascii="Times New Roman" w:hAnsi="Times New Roman"/>
          <w:sz w:val="28"/>
          <w:szCs w:val="28"/>
        </w:rPr>
        <w:t>27 марта</w:t>
      </w:r>
      <w:r w:rsidR="00A926D3">
        <w:rPr>
          <w:rFonts w:ascii="Times New Roman" w:hAnsi="Times New Roman"/>
          <w:sz w:val="28"/>
          <w:szCs w:val="28"/>
        </w:rPr>
        <w:t xml:space="preserve"> 20</w:t>
      </w:r>
      <w:r w:rsidR="0075098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на избирательном участке, где они внесены в список избирателей.</w:t>
      </w:r>
    </w:p>
    <w:p w:rsidR="005F4C82" w:rsidRDefault="005F4C82" w:rsidP="005F4C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рабочие дни </w:t>
      </w: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Бежецкого района работает в период </w:t>
      </w:r>
      <w:r>
        <w:rPr>
          <w:rFonts w:ascii="Times New Roman" w:hAnsi="Times New Roman"/>
          <w:b/>
          <w:sz w:val="28"/>
          <w:szCs w:val="28"/>
        </w:rPr>
        <w:t>с 16 часов до 20 часов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 выходные дни</w:t>
      </w:r>
      <w:r>
        <w:rPr>
          <w:rFonts w:ascii="Times New Roman" w:hAnsi="Times New Roman"/>
          <w:sz w:val="28"/>
          <w:szCs w:val="28"/>
        </w:rPr>
        <w:t xml:space="preserve"> – в период </w:t>
      </w:r>
      <w:r>
        <w:rPr>
          <w:rFonts w:ascii="Times New Roman" w:hAnsi="Times New Roman"/>
          <w:b/>
          <w:sz w:val="28"/>
          <w:szCs w:val="28"/>
        </w:rPr>
        <w:t>с 10 часов до  1</w:t>
      </w:r>
      <w:r w:rsidR="00432C5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 часов</w:t>
      </w:r>
      <w:r>
        <w:rPr>
          <w:rFonts w:ascii="Times New Roman" w:hAnsi="Times New Roman"/>
          <w:sz w:val="28"/>
          <w:szCs w:val="28"/>
        </w:rPr>
        <w:t>.</w:t>
      </w:r>
    </w:p>
    <w:p w:rsidR="005F4C82" w:rsidRDefault="005F4C82" w:rsidP="005F4C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территориальной избирательной комиссии Бежецкого района: 2-08-12</w:t>
      </w:r>
    </w:p>
    <w:p w:rsidR="005F4C82" w:rsidRDefault="005F4C82" w:rsidP="005F4C82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tbl>
      <w:tblPr>
        <w:tblStyle w:val="a3"/>
        <w:tblW w:w="6095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5F4C82" w:rsidTr="005F4C82">
        <w:tc>
          <w:tcPr>
            <w:tcW w:w="6095" w:type="dxa"/>
            <w:hideMark/>
          </w:tcPr>
          <w:p w:rsidR="005F4C82" w:rsidRDefault="005F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5F4C82" w:rsidTr="005F4C82">
        <w:tc>
          <w:tcPr>
            <w:tcW w:w="6095" w:type="dxa"/>
            <w:hideMark/>
          </w:tcPr>
          <w:p w:rsidR="005F4C82" w:rsidRDefault="005F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F4C82" w:rsidTr="005F4C82">
        <w:tc>
          <w:tcPr>
            <w:tcW w:w="6095" w:type="dxa"/>
            <w:hideMark/>
          </w:tcPr>
          <w:p w:rsidR="005F4C82" w:rsidRDefault="005F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5F4C82" w:rsidTr="005F4C82">
        <w:tc>
          <w:tcPr>
            <w:tcW w:w="6095" w:type="dxa"/>
            <w:hideMark/>
          </w:tcPr>
          <w:p w:rsidR="005F4C82" w:rsidRDefault="005F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Бежецкого района</w:t>
            </w:r>
          </w:p>
        </w:tc>
      </w:tr>
      <w:tr w:rsidR="005F4C82" w:rsidTr="005F4C82">
        <w:tc>
          <w:tcPr>
            <w:tcW w:w="6095" w:type="dxa"/>
            <w:hideMark/>
          </w:tcPr>
          <w:p w:rsidR="005F4C82" w:rsidRDefault="005F4C82" w:rsidP="0001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143DC">
              <w:rPr>
                <w:rFonts w:ascii="Times New Roman" w:hAnsi="Times New Roman"/>
                <w:sz w:val="28"/>
                <w:szCs w:val="28"/>
              </w:rPr>
              <w:t>15.03.2022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14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33/236-5</w:t>
            </w:r>
          </w:p>
        </w:tc>
      </w:tr>
    </w:tbl>
    <w:p w:rsidR="005F4C82" w:rsidRDefault="005F4C82" w:rsidP="005F4C82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</w:rPr>
        <w:t xml:space="preserve">График работы </w:t>
      </w:r>
    </w:p>
    <w:p w:rsidR="00432C5C" w:rsidRDefault="005F4C82" w:rsidP="005F4C82">
      <w:pPr>
        <w:pStyle w:val="2"/>
        <w:spacing w:before="240" w:line="276" w:lineRule="auto"/>
        <w:ind w:firstLine="0"/>
        <w:jc w:val="center"/>
      </w:pPr>
      <w:r>
        <w:t xml:space="preserve">участковых избирательных комиссий избирательных участков </w:t>
      </w:r>
      <w:r w:rsidR="00A926D3">
        <w:t xml:space="preserve">                       </w:t>
      </w:r>
      <w:r>
        <w:t>№№</w:t>
      </w:r>
      <w:r>
        <w:rPr>
          <w:b w:val="0"/>
        </w:rPr>
        <w:t xml:space="preserve"> </w:t>
      </w:r>
      <w:r w:rsidR="00A926D3">
        <w:t xml:space="preserve">22-55 </w:t>
      </w:r>
      <w:r>
        <w:rPr>
          <w:i/>
        </w:rPr>
        <w:t xml:space="preserve"> </w:t>
      </w:r>
      <w:r>
        <w:t xml:space="preserve"> для проведения досрочного голосования </w:t>
      </w:r>
      <w:r w:rsidR="0075098D" w:rsidRPr="00432C5C">
        <w:t xml:space="preserve">на </w:t>
      </w:r>
      <w:r w:rsidR="0075098D" w:rsidRPr="006F33EC">
        <w:t xml:space="preserve">дополнительных 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75098D" w:rsidRPr="006F33EC">
        <w:t>Дороховскому</w:t>
      </w:r>
      <w:proofErr w:type="spellEnd"/>
      <w:r w:rsidR="0075098D" w:rsidRPr="006F33EC">
        <w:t xml:space="preserve"> </w:t>
      </w:r>
      <w:proofErr w:type="spellStart"/>
      <w:r w:rsidR="0075098D" w:rsidRPr="006F33EC">
        <w:t>шестимандатному</w:t>
      </w:r>
      <w:proofErr w:type="spellEnd"/>
      <w:r w:rsidR="0075098D" w:rsidRPr="006F33EC">
        <w:t xml:space="preserve"> избирательному округу №1 и по Филиппковскому </w:t>
      </w:r>
      <w:proofErr w:type="spellStart"/>
      <w:r w:rsidR="0075098D" w:rsidRPr="006F33EC">
        <w:t>четырехмандатному</w:t>
      </w:r>
      <w:proofErr w:type="spellEnd"/>
      <w:r w:rsidR="0075098D" w:rsidRPr="006F33EC">
        <w:t xml:space="preserve"> избирательному округу №2     27 марта 2022 года   </w:t>
      </w:r>
    </w:p>
    <w:p w:rsidR="0075098D" w:rsidRDefault="0075098D" w:rsidP="005F4C82">
      <w:pPr>
        <w:pStyle w:val="2"/>
        <w:spacing w:before="240" w:line="276" w:lineRule="auto"/>
        <w:ind w:firstLine="0"/>
        <w:jc w:val="center"/>
      </w:pPr>
    </w:p>
    <w:p w:rsidR="005F4C82" w:rsidRDefault="005F4C82" w:rsidP="005F4C82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 w:rsidR="0075098D">
        <w:rPr>
          <w:rFonts w:ascii="Times New Roman" w:hAnsi="Times New Roman"/>
          <w:sz w:val="28"/>
        </w:rPr>
        <w:t>51</w:t>
      </w:r>
      <w:r w:rsidR="00A926D3">
        <w:rPr>
          <w:rFonts w:ascii="Times New Roman" w:hAnsi="Times New Roman"/>
          <w:sz w:val="28"/>
        </w:rPr>
        <w:t>-5</w:t>
      </w:r>
      <w:r w:rsidR="0075098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="0075098D">
        <w:rPr>
          <w:rFonts w:ascii="Times New Roman" w:hAnsi="Times New Roman"/>
          <w:sz w:val="28"/>
          <w:szCs w:val="28"/>
          <w:u w:val="single"/>
        </w:rPr>
        <w:t>24 марта</w:t>
      </w:r>
      <w:r w:rsidR="00A926D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75098D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  <w:u w:val="single"/>
        </w:rPr>
        <w:t xml:space="preserve"> года по </w:t>
      </w:r>
      <w:r w:rsidR="0075098D">
        <w:rPr>
          <w:rFonts w:ascii="Times New Roman" w:hAnsi="Times New Roman"/>
          <w:sz w:val="28"/>
          <w:szCs w:val="28"/>
          <w:u w:val="single"/>
        </w:rPr>
        <w:t>26 марта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75098D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A926D3">
        <w:rPr>
          <w:rFonts w:ascii="Times New Roman" w:hAnsi="Times New Roman"/>
          <w:sz w:val="28"/>
          <w:szCs w:val="28"/>
        </w:rPr>
        <w:t>9 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926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на избирательном участке, где они внесены в список избирателей.</w:t>
      </w:r>
    </w:p>
    <w:p w:rsidR="005F4C82" w:rsidRDefault="005F4C82" w:rsidP="005F4C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рабочие дни </w:t>
      </w:r>
      <w:r>
        <w:rPr>
          <w:rFonts w:ascii="Times New Roman" w:hAnsi="Times New Roman"/>
          <w:sz w:val="28"/>
          <w:szCs w:val="28"/>
        </w:rPr>
        <w:t xml:space="preserve">участковые избирательные комиссии избирательных участков №№ </w:t>
      </w:r>
      <w:r w:rsidR="0075098D">
        <w:rPr>
          <w:rFonts w:ascii="Times New Roman" w:hAnsi="Times New Roman"/>
          <w:sz w:val="28"/>
        </w:rPr>
        <w:t>51</w:t>
      </w:r>
      <w:r w:rsidR="00A926D3">
        <w:rPr>
          <w:rFonts w:ascii="Times New Roman" w:hAnsi="Times New Roman"/>
          <w:sz w:val="28"/>
        </w:rPr>
        <w:t>-5</w:t>
      </w:r>
      <w:r w:rsidR="0075098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работают в период </w:t>
      </w:r>
      <w:r>
        <w:rPr>
          <w:rFonts w:ascii="Times New Roman" w:hAnsi="Times New Roman"/>
          <w:b/>
          <w:sz w:val="28"/>
          <w:szCs w:val="28"/>
        </w:rPr>
        <w:t>с 16 часов до 20 часов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 выходные дни</w:t>
      </w:r>
      <w:r>
        <w:rPr>
          <w:rFonts w:ascii="Times New Roman" w:hAnsi="Times New Roman"/>
          <w:sz w:val="28"/>
          <w:szCs w:val="28"/>
        </w:rPr>
        <w:t xml:space="preserve"> – в период </w:t>
      </w:r>
      <w:r>
        <w:rPr>
          <w:rFonts w:ascii="Times New Roman" w:hAnsi="Times New Roman"/>
          <w:b/>
          <w:sz w:val="28"/>
          <w:szCs w:val="28"/>
        </w:rPr>
        <w:t>с 10 часов до 1</w:t>
      </w:r>
      <w:r w:rsidR="0075098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</w:p>
    <w:p w:rsidR="005F4C82" w:rsidRDefault="005F4C82" w:rsidP="005F4C82"/>
    <w:p w:rsidR="0027217F" w:rsidRDefault="0027217F"/>
    <w:sectPr w:rsidR="0027217F" w:rsidSect="00FD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04A3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525F6"/>
    <w:multiLevelType w:val="hybridMultilevel"/>
    <w:tmpl w:val="3A7AC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F4C82"/>
    <w:rsid w:val="000143DC"/>
    <w:rsid w:val="0027217F"/>
    <w:rsid w:val="003F3619"/>
    <w:rsid w:val="00432C5C"/>
    <w:rsid w:val="005F4C82"/>
    <w:rsid w:val="006F33EC"/>
    <w:rsid w:val="007123B0"/>
    <w:rsid w:val="0075098D"/>
    <w:rsid w:val="00845DEF"/>
    <w:rsid w:val="00A926D3"/>
    <w:rsid w:val="00C01A08"/>
    <w:rsid w:val="00CA16D2"/>
    <w:rsid w:val="00D77B81"/>
    <w:rsid w:val="00F6604D"/>
    <w:rsid w:val="00FD01B7"/>
    <w:rsid w:val="00FD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F4C8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F4C8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5F4C8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48A0-0BAD-4B3A-A13B-C688A5D2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2018-08-23T11:50:00Z</cp:lastPrinted>
  <dcterms:created xsi:type="dcterms:W3CDTF">2018-08-23T10:43:00Z</dcterms:created>
  <dcterms:modified xsi:type="dcterms:W3CDTF">2022-03-22T09:27:00Z</dcterms:modified>
</cp:coreProperties>
</file>