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578" w:type="dxa"/>
        <w:tblInd w:w="2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475"/>
        <w:gridCol w:w="5103"/>
      </w:tblGrid>
      <w:tr>
        <w:trPr>
          <w:trHeight w:val="286"/>
        </w:trPr>
        <w:tc>
          <w:tcPr>
            <w:tcW w:w="447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4"/>
              <w:ind w:left="80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4"/>
              <w:ind w:lef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938"/>
        </w:trPr>
        <w:tc>
          <w:tcPr>
            <w:tcW w:w="447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Отделением</w:t>
            </w:r>
            <w:r>
              <w:rPr>
                <w:sz w:val="28"/>
                <w:szCs w:val="28"/>
              </w:rPr>
              <w:t xml:space="preserve"> по Тверской области Главного управления Центрального банка Российской Федерации по Центральному федеральному округу</w:t>
            </w:r>
          </w:p>
          <w:p>
            <w:pPr>
              <w:pStyle w:val="UserStyle_4"/>
              <w:widowControl/>
              <w:spacing w:before="120" w:after="120"/>
              <w:ind w:left="-28" w:firstLine="0"/>
              <w:jc w:val="center"/>
              <w:rPr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_____________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М.А. Калинкин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2469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17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</w:p>
        </w:tc>
        <w:tc>
          <w:tcPr>
            <w:tcW w:w="51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4"/>
              <w:ind w:left="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избирательной комиссии Тверской области</w:t>
            </w:r>
          </w:p>
          <w:p>
            <w:pPr>
              <w:pStyle w:val="UserStyle_4"/>
              <w:spacing w:before="120"/>
              <w:ind w:left="33" w:firstLine="0"/>
              <w:jc w:val="center"/>
              <w:rPr>
                <w:color w:val="ff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27 марта 2026 г.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  <w:t xml:space="preserve">8/</w:t>
            </w:r>
            <w:r>
              <w:rPr>
                <w:sz w:val="28"/>
                <w:szCs w:val="28"/>
                <w:lang w:val="en-US"/>
              </w:rPr>
              <w:t xml:space="preserve">2</w:t>
            </w: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-7</w:t>
            </w:r>
            <w:r>
              <w:rPr>
                <w:color w:val="ff0000"/>
                <w:sz w:val="28"/>
                <w:szCs w:val="28"/>
                <w:u w:val="single"/>
              </w:rPr>
            </w:r>
          </w:p>
        </w:tc>
      </w:tr>
    </w:tbl>
    <w:p>
      <w:pPr>
        <w:pStyle w:val="Normal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709"/>
        <w:jc w:val="center"/>
        <w:rPr>
          <w:szCs w:val="28"/>
        </w:rPr>
      </w:pPr>
      <w:r>
        <w:rPr>
          <w:szCs w:val="28"/>
        </w:rPr>
        <w:t xml:space="preserve">Изменения в </w:t>
      </w:r>
      <w:r>
        <w:rPr>
          <w:szCs w:val="28"/>
        </w:rPr>
        <w:t xml:space="preserve">Порядок </w:t>
      </w:r>
      <w:r>
        <w:rPr>
          <w:szCs w:val="28"/>
        </w:rPr>
        <w:t xml:space="preserve">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Тверской области</w:t>
      </w:r>
      <w:r>
        <w:rPr>
          <w:szCs w:val="28"/>
        </w:rPr>
        <w:t xml:space="preserve">, утвержденный постановлением избирательной комиссии Тверской области от </w:t>
      </w:r>
      <w:r>
        <w:rPr>
          <w:szCs w:val="28"/>
        </w:rPr>
        <w:t xml:space="preserve">17</w:t>
      </w:r>
      <w:r>
        <w:rPr>
          <w:szCs w:val="28"/>
        </w:rPr>
        <w:t xml:space="preserve">.0</w:t>
      </w:r>
      <w:r>
        <w:rPr>
          <w:szCs w:val="28"/>
        </w:rPr>
        <w:t xml:space="preserve">5</w:t>
      </w:r>
      <w:r>
        <w:rPr>
          <w:szCs w:val="28"/>
        </w:rPr>
        <w:t xml:space="preserve">.2021 №</w:t>
      </w:r>
      <w:r>
        <w:rPr>
          <w:szCs w:val="28"/>
        </w:rPr>
        <w:t xml:space="preserve">220/3012-6 </w:t>
      </w:r>
      <w:r>
        <w:rPr>
          <w:szCs w:val="28"/>
        </w:rPr>
        <w:t xml:space="preserve">(далее – Порядок)</w:t>
      </w:r>
    </w:p>
    <w:p>
      <w:pPr>
        <w:pStyle w:val="BodyText"/>
        <w:ind w:left="709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ind w:left="709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numPr>
          <w:numId w:val="11"/>
          <w:ilvl w:val="0"/>
        </w:numPr>
        <w:tabs>
          <w:tab w:val="left" w:pos="993" w:leader="none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разделе 1 Порядка: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предложении первом абзаца восьмого пункта 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слово «утверждается» заменить </w:t>
      </w:r>
      <w:r>
        <w:rPr>
          <w:sz w:val="28"/>
          <w:szCs w:val="28"/>
        </w:rPr>
        <w:t xml:space="preserve">словом</w:t>
      </w:r>
      <w:r>
        <w:rPr>
          <w:sz w:val="28"/>
          <w:szCs w:val="28"/>
        </w:rPr>
        <w:t xml:space="preserve"> «определяется»</w:t>
      </w:r>
      <w:r>
        <w:rPr>
          <w:sz w:val="28"/>
          <w:szCs w:val="28"/>
        </w:rPr>
        <w:t xml:space="preserve">, после слова «также» дополнить словом «назначается»</w:t>
      </w:r>
      <w:r>
        <w:rPr>
          <w:sz w:val="28"/>
          <w:szCs w:val="28"/>
        </w:rPr>
        <w:t xml:space="preserve">;</w:t>
      </w:r>
    </w:p>
    <w:p>
      <w:pPr>
        <w:pStyle w:val="Normal"/>
        <w:numPr>
          <w:numId w:val="11"/>
          <w:ilvl w:val="0"/>
        </w:numPr>
        <w:tabs>
          <w:tab w:val="left" w:pos="993" w:leader="none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Порядок р</w:t>
      </w:r>
      <w:r>
        <w:rPr>
          <w:sz w:val="28"/>
          <w:szCs w:val="28"/>
        </w:rPr>
        <w:t xml:space="preserve">азделом 1.1 следующего содержания</w:t>
      </w:r>
      <w:r>
        <w:rPr>
          <w:sz w:val="28"/>
          <w:szCs w:val="28"/>
        </w:rPr>
        <w:t xml:space="preserve">:</w:t>
      </w:r>
    </w:p>
    <w:p>
      <w:pPr>
        <w:pStyle w:val="Normal"/>
        <w:tabs>
          <w:tab w:val="left" w:pos="993" w:leader="none"/>
        </w:tabs>
        <w:spacing w:before="120" w:after="24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1.1. Особенности открытия специального избирательного счета кандидата без личного присутствия (дистанционно) на выборах </w:t>
      </w:r>
      <w:r>
        <w:rPr>
          <w:b/>
          <w:sz w:val="28"/>
          <w:szCs w:val="28"/>
        </w:rPr>
        <w:t xml:space="preserve">депутатов Законодательного Собрания Тверской области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Специальный избирательный счет </w:t>
      </w:r>
      <w:r>
        <w:rPr>
          <w:sz w:val="28"/>
          <w:szCs w:val="28"/>
        </w:rPr>
        <w:t xml:space="preserve">избирательного фонда </w:t>
      </w:r>
      <w:r>
        <w:rPr>
          <w:sz w:val="28"/>
          <w:szCs w:val="28"/>
        </w:rPr>
        <w:t xml:space="preserve">кандидата </w:t>
      </w:r>
      <w:r>
        <w:rPr>
          <w:sz w:val="28"/>
          <w:szCs w:val="28"/>
        </w:rPr>
        <w:t xml:space="preserve">(далее – специальный избирательный счет)</w:t>
      </w:r>
      <w:r>
        <w:t xml:space="preserve"> </w:t>
      </w:r>
      <w:r>
        <w:rPr>
          <w:sz w:val="28"/>
          <w:szCs w:val="28"/>
        </w:rPr>
        <w:t xml:space="preserve">на выборах </w:t>
      </w:r>
      <w:r>
        <w:rPr>
          <w:sz w:val="28"/>
          <w:szCs w:val="28"/>
        </w:rPr>
        <w:t xml:space="preserve">депутатов Законодательного Собрания Тверской области </w:t>
      </w:r>
      <w:r>
        <w:rPr>
          <w:sz w:val="28"/>
          <w:szCs w:val="28"/>
        </w:rPr>
        <w:t xml:space="preserve">может быть открыт кандидатом без личного присутствия (дистанционно) (далее – дистанционное открытие счета)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структурном подразделении</w:t>
      </w:r>
      <w:r>
        <w:rPr>
          <w:sz w:val="28"/>
          <w:szCs w:val="28"/>
        </w:rPr>
        <w:t xml:space="preserve"> ПАО Сбербанк посредством цифрового сервиса дистанционного открытия специального избирательного счета</w:t>
      </w:r>
      <w:r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>
        <w:rPr>
          <w:sz w:val="28"/>
          <w:szCs w:val="28"/>
        </w:rPr>
        <w:t xml:space="preserve">Для дистанционного открытия счета кандидат должен: 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являться действующим клиентом ПАО Сбербанк, быть зарегистрированным пользователем системы ПАО Сбербанк СберБанк Онлайн (далее – система СберБанк Онлайн) и иметь установленное на мобильный телефон приложение СберБанк Онлайн</w:t>
      </w:r>
      <w:r>
        <w:rPr>
          <w:rStyle w:val="FootnoteReference"/>
          <w:sz w:val="28"/>
          <w:szCs w:val="28"/>
        </w:rPr>
        <w:footnoteReference w:id="0"/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иметь паспорт гражданина Российской Федерации, выданный не менее чем за 10 рабочих дней до дня представления в соответствующую </w:t>
      </w:r>
      <w:r>
        <w:rPr>
          <w:sz w:val="28"/>
          <w:szCs w:val="28"/>
        </w:rPr>
        <w:t xml:space="preserve">ТИК с полномочиями окружной комиссии </w:t>
      </w:r>
      <w:r>
        <w:rPr>
          <w:sz w:val="28"/>
          <w:szCs w:val="28"/>
        </w:rPr>
        <w:t xml:space="preserve">заявления о намерении открыть специальный избирательный счет без личного присутствия (дистанционно) и согласия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передачу избирательной комиссией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ПАО Сбербанк своих персональных данных, а также получения СМС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уведомлений (</w:t>
      </w:r>
      <w:r>
        <w:rPr>
          <w:sz w:val="28"/>
          <w:szCs w:val="28"/>
        </w:rPr>
        <w:t xml:space="preserve">форма заявления приведена в приложении №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);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 являться банкротом и не находиться в стадии банкротства;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 иметь заблокированных банком счетов;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не иметь установленных запретов (самозапретов) на получение любых СМС-сообщений, а также убедиться в том, что СМС-сообщения с коротких номеров не попадают в спам.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Кандидат, не являющийся клиентом </w:t>
      </w:r>
      <w:r>
        <w:rPr>
          <w:sz w:val="28"/>
          <w:szCs w:val="28"/>
        </w:rPr>
        <w:t xml:space="preserve">ПАО Сбербанк</w:t>
      </w:r>
      <w:r>
        <w:rPr>
          <w:sz w:val="28"/>
          <w:szCs w:val="28"/>
        </w:rPr>
        <w:t xml:space="preserve">, либо уполномоченный представитель кандидата по финансовым вопросам (в случае его назначения) открывает специальный избирательный счет в </w:t>
      </w:r>
      <w:r>
        <w:rPr>
          <w:sz w:val="28"/>
          <w:szCs w:val="28"/>
        </w:rPr>
        <w:t xml:space="preserve">структурном подразделении ПАО Сбербанк</w:t>
      </w:r>
      <w:r>
        <w:rPr>
          <w:sz w:val="28"/>
          <w:szCs w:val="28"/>
        </w:rPr>
        <w:t xml:space="preserve"> при личном присутствии в соответствии с разделом 1 настоящего Порядка.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>
        <w:rPr>
          <w:sz w:val="28"/>
          <w:szCs w:val="28"/>
        </w:rPr>
        <w:t xml:space="preserve">Кандидат представляет в </w:t>
      </w:r>
      <w:r>
        <w:rPr>
          <w:sz w:val="28"/>
          <w:szCs w:val="28"/>
        </w:rPr>
        <w:t xml:space="preserve">соответствующую </w:t>
      </w:r>
      <w:r>
        <w:rPr>
          <w:sz w:val="28"/>
          <w:szCs w:val="28"/>
        </w:rPr>
        <w:t xml:space="preserve">ТИК с полномочиями окружной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о намерении открыть специальный избирательный счет без личного присутствия (дистанционно) и согласии на передачу </w:t>
      </w:r>
      <w:r>
        <w:rPr>
          <w:color w:val="000000"/>
          <w:sz w:val="28"/>
          <w:szCs w:val="28"/>
        </w:rPr>
        <w:t xml:space="preserve">ТИК с полномочиями окружной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ПАО Сбербанк своих персональных данных, содержащихся в заявлении о согласии баллотироваться и включающих: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фамилию, имя, отчество;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число, месяц и год рождения;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серию и номер паспорта гражданина Российской Федерации.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 После подписания </w:t>
      </w:r>
      <w:r>
        <w:rPr>
          <w:sz w:val="28"/>
          <w:szCs w:val="28"/>
        </w:rPr>
        <w:t xml:space="preserve">разрешения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ТИК с полномочиями окружной комиссии</w:t>
      </w:r>
      <w:r>
        <w:rPr>
          <w:sz w:val="28"/>
          <w:szCs w:val="28"/>
        </w:rPr>
        <w:t xml:space="preserve"> на открытие специального избирательного счета кандидата</w:t>
      </w:r>
      <w:r>
        <w:rPr>
          <w:sz w:val="28"/>
          <w:szCs w:val="28"/>
        </w:rPr>
        <w:t xml:space="preserve">, и на основании заявления, указанного в пункте 1.1.3 настоящего Порядка, </w:t>
      </w:r>
      <w:r>
        <w:rPr>
          <w:sz w:val="28"/>
          <w:szCs w:val="28"/>
        </w:rPr>
        <w:t xml:space="preserve">ТИК с полномочиями окружной комиссии </w:t>
      </w:r>
      <w:r>
        <w:rPr>
          <w:sz w:val="28"/>
          <w:szCs w:val="28"/>
        </w:rPr>
        <w:t xml:space="preserve">направляет в </w:t>
      </w:r>
      <w:r>
        <w:rPr>
          <w:sz w:val="28"/>
          <w:szCs w:val="28"/>
        </w:rPr>
        <w:t xml:space="preserve">ПАО Сбербанк</w:t>
      </w:r>
      <w:r>
        <w:rPr>
          <w:sz w:val="28"/>
          <w:szCs w:val="28"/>
        </w:rPr>
        <w:t xml:space="preserve"> через автоматизированную систему ПАО Сбербанк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СберКазначе</w:t>
      </w:r>
      <w:r>
        <w:rPr>
          <w:sz w:val="28"/>
          <w:szCs w:val="28"/>
        </w:rPr>
        <w:t xml:space="preserve">йство» </w:t>
      </w:r>
      <w:r>
        <w:rPr>
          <w:sz w:val="28"/>
          <w:szCs w:val="28"/>
        </w:rPr>
        <w:t xml:space="preserve">следующую информацию:</w:t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фамилию, имя, отчество кандидата;</w:t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число, месяц и год рождения кандидата;</w:t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серию и номер паспорта гражданина Российской Федерации;</w:t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реквизиты разрешения </w:t>
      </w:r>
      <w:r>
        <w:rPr>
          <w:color w:val="000000"/>
          <w:sz w:val="28"/>
          <w:szCs w:val="28"/>
        </w:rPr>
        <w:t xml:space="preserve">ТИК с полномочиями окружной комиссии </w:t>
      </w:r>
      <w:r>
        <w:rPr>
          <w:sz w:val="28"/>
          <w:szCs w:val="28"/>
        </w:rPr>
        <w:t xml:space="preserve">на открытие специального избирательного счета кандидат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наименование избирательной кампании;</w:t>
      </w: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наименование и/или номер избирательного округа (при наличии);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дату и местное время окончания периода представления документов, необходимых для регистрации кандидатов </w:t>
      </w:r>
      <w:r>
        <w:rPr>
          <w:sz w:val="28"/>
          <w:szCs w:val="28"/>
        </w:rPr>
        <w:t xml:space="preserve">на выборах </w:t>
      </w:r>
      <w:r>
        <w:rPr>
          <w:sz w:val="28"/>
          <w:szCs w:val="28"/>
        </w:rPr>
        <w:t xml:space="preserve">депутатов Законодательного Собрания Тверской области</w:t>
      </w:r>
      <w:r>
        <w:rPr>
          <w:sz w:val="28"/>
          <w:szCs w:val="28"/>
        </w:rPr>
        <w:t xml:space="preserve">;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) реквизиты </w:t>
      </w:r>
      <w:r>
        <w:rPr>
          <w:sz w:val="28"/>
          <w:szCs w:val="28"/>
        </w:rPr>
        <w:t xml:space="preserve">структурного подразделения</w:t>
      </w:r>
      <w:r>
        <w:rPr>
          <w:sz w:val="28"/>
          <w:szCs w:val="28"/>
        </w:rPr>
        <w:t xml:space="preserve"> ПАО Сбербанк, указанные </w:t>
      </w:r>
      <w:r>
        <w:rPr>
          <w:sz w:val="28"/>
          <w:szCs w:val="28"/>
        </w:rPr>
        <w:t xml:space="preserve">в разрешении на открытие специального избирательного счета кандидата</w:t>
      </w:r>
      <w:r>
        <w:rPr>
          <w:sz w:val="28"/>
          <w:szCs w:val="28"/>
        </w:rPr>
        <w:t xml:space="preserve">.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1.1.5. При успешном прохождении процедуры проверки клиента, осуществляемой в режиме реального времени, </w:t>
      </w:r>
      <w:r>
        <w:rPr>
          <w:sz w:val="28"/>
          <w:szCs w:val="28"/>
        </w:rPr>
        <w:t xml:space="preserve">ПАО Сбербанк</w:t>
      </w:r>
      <w:r>
        <w:rPr>
          <w:sz w:val="28"/>
          <w:szCs w:val="28"/>
        </w:rPr>
        <w:t xml:space="preserve"> направляет кандидату СМС-</w:t>
      </w:r>
      <w:r>
        <w:rPr>
          <w:sz w:val="28"/>
          <w:szCs w:val="28"/>
        </w:rPr>
        <w:t xml:space="preserve">уведомление</w:t>
      </w:r>
      <w:r>
        <w:rPr>
          <w:sz w:val="28"/>
          <w:szCs w:val="28"/>
        </w:rPr>
        <w:t xml:space="preserve"> с короткого номера 0321 на </w:t>
      </w:r>
      <w:r>
        <w:rPr>
          <w:sz w:val="28"/>
          <w:szCs w:val="28"/>
        </w:rPr>
        <w:t xml:space="preserve">номер </w:t>
      </w:r>
      <w:r>
        <w:rPr>
          <w:sz w:val="28"/>
          <w:szCs w:val="28"/>
        </w:rPr>
        <w:t xml:space="preserve">мобильн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телефона</w:t>
      </w:r>
      <w:r>
        <w:rPr>
          <w:sz w:val="28"/>
          <w:szCs w:val="28"/>
        </w:rPr>
        <w:t xml:space="preserve">, привязанный к действующей учетной записи клиента системы СберБанк Онлайн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номер мобильного телефона кандидата), о возможности дистанционного открытия счета (с направлением активной ссылки для его открытия).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После перехода по ссылке кандидат авторизуется в мобильном приложении системы СберБанк Онлайн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Далее, последовательно заполняя необходимую информацию в открывающихся диалоговых окнах, подписывает </w:t>
      </w:r>
      <w:r>
        <w:rPr>
          <w:sz w:val="28"/>
          <w:szCs w:val="28"/>
        </w:rPr>
        <w:t xml:space="preserve">заявление</w:t>
      </w:r>
      <w:r>
        <w:rPr>
          <w:sz w:val="28"/>
          <w:szCs w:val="28"/>
          <w:vertAlign w:val="superscript"/>
        </w:rPr>
        <w:footnoteReference w:id="1"/>
      </w:r>
      <w:r>
        <w:rPr>
          <w:sz w:val="28"/>
          <w:szCs w:val="28"/>
        </w:rPr>
        <w:t xml:space="preserve"> о присоединении к Условиям открытия и обслуживания специального избирательного счета кандидата и Условиям предоставления услуг с использованием системы дистанционного банковского обслуживания ПАО Сбербанк «Сбербанк Бизнес Онлайн» (далее – заявление о присоединении). 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Подписание заявления о присоединении осуществляется путем проставления «галочки» и ввода одноразового кода подтверждения, полученного в СМС-уведомлении с короткого номера 900 на номер мобильного телефона кандидата.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подписания кандидатом заявления о присоединении специальный избирательный счет открывается незамедлительно.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 После открытия </w:t>
      </w:r>
      <w:r>
        <w:rPr>
          <w:sz w:val="28"/>
          <w:szCs w:val="28"/>
        </w:rPr>
        <w:t xml:space="preserve">ПАО Сбербанк</w:t>
      </w:r>
      <w:r>
        <w:rPr>
          <w:sz w:val="28"/>
          <w:szCs w:val="28"/>
        </w:rPr>
        <w:t xml:space="preserve"> специального избирательного счета кандидата на адрес электронной почты, указанный кандидатом в заявлении о присоединении, направляется логин, а на номер мобильного телефона</w:t>
      </w:r>
      <w:r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в СМС-</w:t>
      </w:r>
      <w:r>
        <w:rPr>
          <w:sz w:val="28"/>
          <w:szCs w:val="28"/>
        </w:rPr>
        <w:t xml:space="preserve">уведомлении</w:t>
      </w:r>
      <w:r>
        <w:rPr>
          <w:sz w:val="28"/>
          <w:szCs w:val="28"/>
        </w:rPr>
        <w:t xml:space="preserve"> – пароль для доступа к личному кабинету системы дистанционного банковского обслуживания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ПАО Сбербанк «Сбербанк Бизнес Онлайн».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 При отсутствии технической возможности открытия специального избирательного счета </w:t>
      </w:r>
      <w:r>
        <w:rPr>
          <w:sz w:val="28"/>
          <w:szCs w:val="28"/>
        </w:rPr>
        <w:t xml:space="preserve">ПАО Сбербанк</w:t>
      </w:r>
      <w:r>
        <w:rPr>
          <w:sz w:val="28"/>
          <w:szCs w:val="28"/>
        </w:rPr>
        <w:t xml:space="preserve"> незамедлительно информирует об этом кандидата сообщением в диалоговом окне личного кабинета системы </w:t>
      </w:r>
      <w:r>
        <w:rPr>
          <w:sz w:val="28"/>
          <w:szCs w:val="28"/>
        </w:rPr>
        <w:t xml:space="preserve">СберБанк Онлайн</w:t>
      </w:r>
      <w:r>
        <w:rPr>
          <w:sz w:val="28"/>
          <w:szCs w:val="28"/>
        </w:rPr>
        <w:t xml:space="preserve">.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 Кандидат или его уполномоченный представитель по финансовым вопросам</w:t>
      </w:r>
      <w:r>
        <w:rPr>
          <w:sz w:val="28"/>
          <w:szCs w:val="28"/>
        </w:rPr>
        <w:t xml:space="preserve"> (в случае его назначения)</w:t>
      </w:r>
      <w:r>
        <w:rPr>
          <w:sz w:val="28"/>
          <w:szCs w:val="28"/>
        </w:rPr>
        <w:t xml:space="preserve"> в течение трех дней со дня открытия специального избирательного счета, но не позднее дня представления документов для регистрации, сообщает в </w:t>
      </w:r>
      <w:r>
        <w:rPr>
          <w:sz w:val="28"/>
          <w:szCs w:val="28"/>
        </w:rPr>
        <w:t xml:space="preserve">ТИК с полномочиями окружной 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реквизиты специального избирательного счета по форме</w:t>
      </w:r>
      <w:r>
        <w:rPr>
          <w:sz w:val="28"/>
          <w:szCs w:val="28"/>
        </w:rPr>
        <w:t xml:space="preserve">, приведенной в </w:t>
      </w:r>
      <w:r>
        <w:rPr>
          <w:sz w:val="28"/>
          <w:szCs w:val="28"/>
        </w:rPr>
        <w:t xml:space="preserve">приложении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к настоящему Порядку.</w:t>
      </w:r>
      <w:r>
        <w:rPr>
          <w:sz w:val="28"/>
          <w:szCs w:val="28"/>
        </w:rPr>
        <w:t xml:space="preserve"> 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 Для решения организационных вопросов</w:t>
      </w:r>
      <w:r>
        <w:t xml:space="preserve"> </w:t>
      </w:r>
      <w:r>
        <w:rPr>
          <w:sz w:val="28"/>
          <w:szCs w:val="28"/>
        </w:rPr>
        <w:t xml:space="preserve">по дистанционному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открытию специальных избирательных счетов кандидатов в </w:t>
      </w:r>
      <w:r>
        <w:rPr>
          <w:sz w:val="28"/>
          <w:szCs w:val="28"/>
        </w:rPr>
        <w:t xml:space="preserve">ПАО Сбербанк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работает</w:t>
      </w:r>
      <w:r>
        <w:rPr>
          <w:sz w:val="28"/>
          <w:szCs w:val="28"/>
        </w:rPr>
        <w:t xml:space="preserve"> горячая линия</w:t>
      </w:r>
      <w:r>
        <w:rPr>
          <w:sz w:val="28"/>
          <w:szCs w:val="28"/>
        </w:rPr>
        <w:t xml:space="preserve"> (телефон 0321)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3.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раздела 3 Порядка дополнить абзацем следующего содержания:</w:t>
      </w:r>
    </w:p>
    <w:p>
      <w:pPr>
        <w:pStyle w:val="Normal"/>
        <w:tabs>
          <w:tab w:val="left" w:pos="993" w:leader="none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Кандидатом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уполномоченным представителем по финансовым вопросам </w:t>
      </w:r>
      <w:r>
        <w:rPr>
          <w:sz w:val="28"/>
          <w:szCs w:val="28"/>
        </w:rPr>
        <w:t xml:space="preserve">кандидата </w:t>
      </w:r>
      <w:r>
        <w:rPr>
          <w:sz w:val="28"/>
          <w:szCs w:val="28"/>
        </w:rPr>
        <w:t xml:space="preserve">(в случае его назначения)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по финансовым вопросам избирательного объединения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быть представлены документы, в том числе в составе финансовой отчетности (выписка по специальному избирательному счету, копии платежных</w:t>
      </w:r>
      <w:r>
        <w:rPr>
          <w:sz w:val="28"/>
          <w:szCs w:val="28"/>
        </w:rPr>
        <w:t xml:space="preserve"> (расчетных)</w:t>
      </w:r>
      <w:r>
        <w:rPr>
          <w:sz w:val="28"/>
          <w:szCs w:val="28"/>
        </w:rPr>
        <w:t xml:space="preserve"> документов, банковский документ об остатках </w:t>
      </w:r>
      <w:r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 xml:space="preserve">на специальном избирательном счете</w:t>
      </w:r>
      <w:r>
        <w:rPr>
          <w:sz w:val="28"/>
          <w:szCs w:val="28"/>
        </w:rPr>
        <w:t xml:space="preserve">, иные документы</w:t>
      </w:r>
      <w:r>
        <w:rPr>
          <w:sz w:val="28"/>
          <w:szCs w:val="28"/>
        </w:rPr>
        <w:t xml:space="preserve">), распечатанные </w:t>
      </w:r>
      <w:r>
        <w:rPr>
          <w:sz w:val="28"/>
          <w:szCs w:val="28"/>
        </w:rPr>
        <w:t xml:space="preserve">из системы дистанционного банковского обслуживания ПАО Сбербанк «Сбербанк Бизнес Онлайн» по форме банка и заверенные собственноручной подписью кандидата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уполномоченного представителя по финансовым вопросам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кандидата </w:t>
      </w:r>
      <w:r>
        <w:rPr>
          <w:sz w:val="28"/>
          <w:szCs w:val="28"/>
        </w:rPr>
        <w:t xml:space="preserve">(в случае его назначения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уполномоченного представителя по финансовым вопросам избирательного объединения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иные требования к указанным документам не предусмотрены </w:t>
      </w:r>
      <w:r>
        <w:rPr>
          <w:sz w:val="28"/>
          <w:szCs w:val="28"/>
        </w:rPr>
        <w:t xml:space="preserve">Федеральным з</w:t>
      </w:r>
      <w:r>
        <w:rPr>
          <w:sz w:val="28"/>
          <w:szCs w:val="28"/>
        </w:rPr>
        <w:t xml:space="preserve">аконом</w:t>
      </w:r>
      <w:r>
        <w:rPr>
          <w:sz w:val="28"/>
          <w:szCs w:val="28"/>
        </w:rPr>
        <w:t xml:space="preserve">, Кодексом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</w:p>
    <w:p>
      <w:pPr>
        <w:pStyle w:val="Normal"/>
        <w:numPr>
          <w:numId w:val="12"/>
          <w:ilvl w:val="0"/>
        </w:numPr>
        <w:tabs>
          <w:tab w:val="left" w:pos="1134" w:leader="none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</w:t>
      </w:r>
      <w:r>
        <w:rPr>
          <w:sz w:val="28"/>
          <w:szCs w:val="28"/>
        </w:rPr>
        <w:t xml:space="preserve">ях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,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, 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Порядку после слова «БЛАНК» дополнить словом «ПИСЬМА»;</w:t>
      </w:r>
    </w:p>
    <w:p>
      <w:pPr>
        <w:pStyle w:val="Normal"/>
        <w:numPr>
          <w:numId w:val="12"/>
          <w:ilvl w:val="0"/>
        </w:numPr>
        <w:tabs>
          <w:tab w:val="left" w:pos="993" w:leader="none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к Порядку изложить в следующей редакции:</w:t>
      </w:r>
    </w:p>
    <w:tbl>
      <w:tblPr>
        <w:tblW w:w="0" w:type="auto"/>
        <w:tblInd w:w="334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222"/>
      </w:tblGrid>
      <w:tr>
        <w:trPr/>
        <w:tc>
          <w:tcPr>
            <w:tcW w:w="622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11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 w:clear="all"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1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1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UserStyle_11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W w:w="622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к Порядку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Тверской области, утвержденному постановлением избирательной комиссии Тверской области </w:t>
            </w:r>
            <w:r>
              <w:rPr>
                <w:snapToGrid w:val="0"/>
                <w:sz w:val="22"/>
                <w:szCs w:val="22"/>
              </w:rPr>
            </w:r>
          </w:p>
        </w:tc>
      </w:tr>
      <w:tr>
        <w:trPr/>
        <w:tc>
          <w:tcPr>
            <w:tcW w:w="622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от 17 мая 2021 г. № 220/3012-6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ind w:left="4536"/>
        <w:rPr>
          <w:sz w:val="28"/>
        </w:rPr>
      </w:pPr>
      <w:r>
        <w:rPr>
          <w:sz w:val="28"/>
        </w:rPr>
      </w:r>
    </w:p>
    <w:p>
      <w:pPr>
        <w:pStyle w:val="Normal"/>
        <w:spacing w:before="360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В </w:t>
      </w:r>
      <w:r>
        <w:rPr>
          <w:sz w:val="26"/>
          <w:szCs w:val="26"/>
        </w:rPr>
        <w:t xml:space="preserve">__________________________________________</w:t>
      </w:r>
    </w:p>
    <w:p>
      <w:pPr>
        <w:pStyle w:val="Normal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(наименование ТИК с полномочиями окружной комиссии)</w:t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left="4536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УВЕДОМЛЕНИЕ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 открытии специального избирательного счета</w:t>
      </w:r>
      <w:r>
        <w:rPr>
          <w:b/>
          <w:sz w:val="27"/>
          <w:szCs w:val="27"/>
        </w:rPr>
        <w:t xml:space="preserve"> кандидата</w:t>
      </w:r>
      <w:r>
        <w:rPr>
          <w:b/>
          <w:sz w:val="27"/>
          <w:szCs w:val="27"/>
        </w:rPr>
        <w:t xml:space="preserve"> 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 о его реквизитах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tbl>
      <w:tblPr>
        <w:tblW w:w="9300" w:type="dxa"/>
        <w:tblInd w:w="2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00"/>
      </w:tblGrid>
      <w:tr>
        <w:trPr>
          <w:trHeight w:val="394"/>
        </w:trPr>
        <w:tc>
          <w:tcPr>
            <w:tcW w:w="930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="36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(фамилия, имя и отчество кандидата)</w:t>
      </w:r>
    </w:p>
    <w:p>
      <w:pPr>
        <w:pStyle w:val="Normal"/>
        <w:spacing w:line="336" w:lineRule="auto"/>
        <w:rPr>
          <w:sz w:val="28"/>
          <w:szCs w:val="28"/>
        </w:rPr>
      </w:pPr>
      <w:r>
        <w:rPr>
          <w:sz w:val="28"/>
          <w:szCs w:val="28"/>
        </w:rPr>
        <w:t xml:space="preserve">уведомляет</w:t>
      </w:r>
      <w:r>
        <w:rPr>
          <w:sz w:val="28"/>
          <w:szCs w:val="28"/>
        </w:rPr>
        <w:t xml:space="preserve"> о том, что для проведения </w:t>
      </w:r>
      <w:r>
        <w:rPr>
          <w:sz w:val="28"/>
          <w:szCs w:val="28"/>
        </w:rPr>
        <w:t xml:space="preserve">_________________________________</w:t>
      </w:r>
    </w:p>
    <w:tbl>
      <w:tblPr>
        <w:tblW w:w="9300" w:type="dxa"/>
        <w:tblInd w:w="2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00"/>
      </w:tblGrid>
      <w:tr>
        <w:trPr>
          <w:trHeight w:val="394"/>
        </w:trPr>
        <w:tc>
          <w:tcPr>
            <w:tcW w:w="9300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="336" w:lineRule="auto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(наименование избирательной кампании, наименование и номер избирательного округа)</w:t>
      </w:r>
    </w:p>
    <w:p>
      <w:pPr>
        <w:pStyle w:val="Normal"/>
        <w:jc w:val="both"/>
      </w:pPr>
      <w:r>
        <w:rPr>
          <w:sz w:val="28"/>
          <w:szCs w:val="28"/>
        </w:rPr>
        <w:t xml:space="preserve">«___»</w:t>
      </w:r>
      <w:r>
        <w:t xml:space="preserve"> </w:t>
      </w:r>
      <w:r>
        <w:rPr>
          <w:sz w:val="28"/>
          <w:szCs w:val="28"/>
        </w:rPr>
        <w:t xml:space="preserve">_________20___ года открыт</w:t>
      </w:r>
      <w:r>
        <w:t xml:space="preserve"> </w:t>
      </w:r>
      <w:r>
        <w:rPr>
          <w:sz w:val="28"/>
          <w:szCs w:val="28"/>
        </w:rPr>
        <w:t xml:space="preserve">специальный избирательный счет</w:t>
      </w:r>
    </w:p>
    <w:tbl>
      <w:tblPr>
        <w:tblW w:w="9491" w:type="dxa"/>
        <w:tblInd w:w="7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1"/>
      </w:tblGrid>
      <w:tr>
        <w:trPr>
          <w:trHeight w:val="421"/>
        </w:trPr>
        <w:tc>
          <w:tcPr>
            <w:tcW w:w="949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="360" w:lineRule="auto"/>
        <w:jc w:val="center"/>
        <w:rPr>
          <w:i/>
          <w:iCs/>
          <w:sz w:val="18"/>
          <w:szCs w:val="18"/>
        </w:rPr>
      </w:pPr>
      <w:r>
        <w:rPr>
          <w:sz w:val="16"/>
          <w:szCs w:val="16"/>
        </w:rPr>
        <w:t xml:space="preserve"> (</w:t>
      </w:r>
      <w:r>
        <w:rPr>
          <w:i/>
          <w:iCs/>
          <w:sz w:val="18"/>
          <w:szCs w:val="18"/>
        </w:rPr>
        <w:t xml:space="preserve">номер специального избирательного счета)</w:t>
      </w:r>
    </w:p>
    <w:tbl>
      <w:tblPr>
        <w:tblW w:w="9491" w:type="dxa"/>
        <w:tblInd w:w="11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3"/>
        <w:gridCol w:w="8848"/>
        <w:gridCol w:w="290"/>
      </w:tblGrid>
      <w:tr>
        <w:trPr>
          <w:trHeight w:val="201"/>
        </w:trPr>
        <w:tc>
          <w:tcPr>
            <w:tcW w:w="353" w:type="dxa"/>
            <w:textDirection w:val="lrTb"/>
            <w:vAlign w:val="top"/>
          </w:tcPr>
          <w:p>
            <w:pPr>
              <w:pStyle w:val="Normal"/>
              <w:jc w:val="both"/>
              <w:rPr>
                <w:rFonts w:ascii="Courier New" w:hAnsi="Courier New" w:cs="Courier New"/>
              </w:rPr>
            </w:pPr>
            <w:r>
              <w:rPr>
                <w:bCs/>
                <w:sz w:val="28"/>
                <w:szCs w:val="28"/>
              </w:rPr>
              <w:t xml:space="preserve">в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W w:w="8848" w:type="dxa"/>
            <w:tcBorders>
              <w:bottom w:val="single" w:color="000000" w:sz="4" w:space="0"/>
            </w:tcBorders>
            <w:tcMar>
              <w:top w:w="55" w:type="dxa"/>
              <w:bottom w:w="55" w:type="dxa"/>
            </w:tcMar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90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</w:t>
            </w:r>
          </w:p>
        </w:tc>
      </w:tr>
    </w:tbl>
    <w:p>
      <w:pPr>
        <w:pStyle w:val="Normal"/>
        <w:spacing w:line="360" w:lineRule="auto"/>
        <w:jc w:val="center"/>
        <w:rPr>
          <w:i/>
          <w:iCs/>
        </w:rPr>
      </w:pPr>
      <w:r>
        <w:rPr>
          <w:i/>
          <w:iCs/>
          <w:sz w:val="18"/>
          <w:szCs w:val="18"/>
        </w:rPr>
        <w:t xml:space="preserve"> (наименование</w:t>
      </w:r>
      <w:r>
        <w:rPr>
          <w:i/>
          <w:iCs/>
          <w:sz w:val="18"/>
          <w:szCs w:val="18"/>
        </w:rPr>
        <w:t xml:space="preserve"> и адрес</w:t>
      </w:r>
      <w:r>
        <w:rPr>
          <w:i/>
          <w:iCs/>
          <w:sz w:val="18"/>
          <w:szCs w:val="18"/>
        </w:rPr>
        <w:t xml:space="preserve"> структурного подразделения </w:t>
      </w:r>
      <w:r>
        <w:rPr>
          <w:i/>
          <w:iCs/>
          <w:sz w:val="18"/>
          <w:szCs w:val="18"/>
        </w:rPr>
        <w:t xml:space="preserve">ПАО </w:t>
      </w:r>
      <w:r>
        <w:rPr>
          <w:i/>
          <w:iCs/>
          <w:sz w:val="18"/>
          <w:szCs w:val="18"/>
        </w:rPr>
        <w:t xml:space="preserve">Сбербанк</w:t>
      </w:r>
      <w:r>
        <w:rPr>
          <w:i/>
          <w:iCs/>
          <w:sz w:val="18"/>
          <w:szCs w:val="18"/>
        </w:rPr>
        <w:t xml:space="preserve">, другой кредитной организации)</w:t>
      </w:r>
      <w:r>
        <w:rPr>
          <w:i/>
          <w:i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tbl>
      <w:tblPr>
        <w:tblW w:w="946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9"/>
        <w:gridCol w:w="1984"/>
        <w:gridCol w:w="426"/>
        <w:gridCol w:w="2126"/>
      </w:tblGrid>
      <w:tr>
        <w:tc>
          <w:tcPr>
            <w:tcW w:w="49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4"/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(уполномоченный представитель кандидата по финансовым вопросам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___________________</w:t>
            </w:r>
          </w:p>
        </w:tc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21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_____________________ </w:t>
            </w:r>
          </w:p>
        </w:tc>
      </w:tr>
      <w:tr>
        <w:tc>
          <w:tcPr>
            <w:tcW w:w="49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8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4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(подпись)</w:t>
            </w:r>
          </w:p>
        </w:tc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21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4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(инициалы, фамилия)</w:t>
            </w:r>
          </w:p>
        </w:tc>
      </w:tr>
    </w:tbl>
    <w:p>
      <w:pPr>
        <w:pStyle w:val="Normal"/>
        <w:spacing w:before="240"/>
        <w:ind w:right="52"/>
        <w:rPr>
          <w:sz w:val="28"/>
          <w:szCs w:val="28"/>
        </w:rPr>
      </w:pPr>
      <w:r>
        <w:rPr>
          <w:sz w:val="28"/>
          <w:szCs w:val="28"/>
        </w:rPr>
        <w:t xml:space="preserve">«___»__________20__ г.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numId w:val="12"/>
          <w:ilvl w:val="0"/>
        </w:numPr>
        <w:tabs>
          <w:tab w:val="left" w:pos="993" w:leader="none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Порядок приложением №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содержания</w:t>
      </w:r>
      <w:r>
        <w:rPr>
          <w:sz w:val="28"/>
          <w:szCs w:val="28"/>
        </w:rPr>
        <w:t xml:space="preserve">:</w:t>
      </w:r>
    </w:p>
    <w:tbl>
      <w:tblPr>
        <w:tblW w:w="9640" w:type="dxa"/>
        <w:tblInd w:w="-14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82"/>
        <w:gridCol w:w="6358"/>
      </w:tblGrid>
      <w:tr>
        <w:trPr>
          <w:trHeight w:val="1765"/>
        </w:trPr>
        <w:tc>
          <w:tcPr>
            <w:tcW w:w="328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1099"/>
            </w:pPr>
          </w:p>
        </w:tc>
        <w:tc>
          <w:tcPr>
            <w:tcW w:w="63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«</w:t>
            </w:r>
            <w:r>
              <w:rPr>
                <w:sz w:val="28"/>
                <w:szCs w:val="28"/>
              </w:rPr>
              <w:t xml:space="preserve">Приложение № </w:t>
            </w:r>
            <w:r>
              <w:rPr>
                <w:sz w:val="28"/>
                <w:szCs w:val="28"/>
              </w:rPr>
              <w:t xml:space="preserve">7</w:t>
            </w:r>
          </w:p>
          <w:p>
            <w:pPr>
              <w:pStyle w:val="Normal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к Порядку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Тверской области, утвержденному постановлением избирательной комиссии Тверской области </w:t>
            </w:r>
            <w:r>
              <w:rPr>
                <w:snapToGrid w:val="0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bCs/>
              </w:rPr>
            </w:pPr>
            <w:r>
              <w:rPr>
                <w:snapToGrid w:val="0"/>
                <w:sz w:val="22"/>
                <w:szCs w:val="22"/>
              </w:rPr>
              <w:t xml:space="preserve">от 17 мая 2021 г. № 220/3012-6</w:t>
            </w:r>
            <w:r>
              <w:rPr>
                <w:bCs/>
              </w:rPr>
            </w:r>
          </w:p>
        </w:tc>
      </w:tr>
      <w:tr>
        <w:trPr>
          <w:trHeight w:val="187"/>
        </w:trPr>
        <w:tc>
          <w:tcPr>
            <w:tcW w:w="328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  <w:p>
            <w:pPr>
              <w:pStyle w:val="Normal"/>
            </w:pPr>
          </w:p>
        </w:tc>
        <w:tc>
          <w:tcPr>
            <w:tcW w:w="635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</w:tr>
    </w:tbl>
    <w:p>
      <w:pPr>
        <w:pStyle w:val="Normal"/>
        <w:rPr>
          <w:vanish/>
          <w:szCs w:val="20"/>
        </w:rPr>
      </w:pPr>
      <w:r>
        <w:rPr>
          <w:vanish/>
          <w:szCs w:val="20"/>
        </w:rPr>
      </w:r>
    </w:p>
    <w:tbl>
      <w:tblPr>
        <w:tblW w:w="9571" w:type="dxa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43"/>
        <w:gridCol w:w="6628"/>
      </w:tblGrid>
      <w:tr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6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before="360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z w:val="26"/>
                <w:szCs w:val="26"/>
              </w:rPr>
              <w:t xml:space="preserve"> ___________________________________________</w:t>
            </w:r>
          </w:p>
          <w:p>
            <w:pPr>
              <w:pStyle w:val="Norma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(наименование ТИК с полномочиями окружной комиссии)</w:t>
            </w:r>
          </w:p>
          <w:p>
            <w:pPr>
              <w:pStyle w:val="Normal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UserStyle_9"/>
              <w:rPr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</w:tr>
      <w:tr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6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от_____________________________________________,</w:t>
            </w:r>
          </w:p>
          <w:p>
            <w:pPr>
              <w:pStyle w:val="UserStyle_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(фамилия, имя, отчество кандидата)</w:t>
            </w:r>
          </w:p>
        </w:tc>
      </w:tr>
      <w:tr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6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зарегистрированного по адресу:____________________</w:t>
            </w:r>
          </w:p>
          <w:p>
            <w:pPr>
              <w:pStyle w:val="UserStyle_9"/>
              <w:rPr>
                <w:i/>
                <w:sz w:val="20"/>
              </w:rPr>
            </w:pPr>
            <w:r>
              <w:rPr>
                <w:sz w:val="27"/>
                <w:szCs w:val="27"/>
              </w:rPr>
              <w:t xml:space="preserve">                                                         </w:t>
            </w:r>
            <w:r>
              <w:rPr>
                <w:i/>
                <w:sz w:val="20"/>
              </w:rPr>
              <w:t xml:space="preserve">(адрес места регистрации</w:t>
            </w:r>
          </w:p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_______________________________________________</w:t>
            </w:r>
          </w:p>
          <w:p>
            <w:pPr>
              <w:pStyle w:val="UserStyle_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указывается с почтовым индексом)</w:t>
            </w:r>
          </w:p>
        </w:tc>
      </w:tr>
      <w:tr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6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паспорт серия_____________ №____________________</w:t>
            </w:r>
          </w:p>
        </w:tc>
      </w:tr>
      <w:tr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6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выдан__________________________________________</w:t>
            </w:r>
          </w:p>
          <w:p>
            <w:pPr>
              <w:pStyle w:val="UserStyle_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(дата выдачи и наименование органа, выдавшего документ)</w:t>
            </w:r>
          </w:p>
        </w:tc>
      </w:tr>
      <w:tr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6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телефон: _______________________________________</w:t>
            </w:r>
          </w:p>
        </w:tc>
      </w:tr>
      <w:tr>
        <w:trPr>
          <w:trHeight w:val="493"/>
        </w:trPr>
        <w:tc>
          <w:tcPr>
            <w:tcW w:w="294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66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UserStyle_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электронной почты: ________________________</w:t>
            </w:r>
          </w:p>
        </w:tc>
      </w:tr>
    </w:tbl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ЗАЯВЛЕНИЕ</w: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о намерении открыть специальный избирательный счет без личного присутствия (дистанционно) и согласии на передачу персональных данных</w:t>
      </w:r>
    </w:p>
    <w:p>
      <w:pPr>
        <w:pStyle w:val="Normal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публичному акционерному обществу «Сбербанк России»</w:t>
      </w:r>
    </w:p>
    <w:p>
      <w:pPr>
        <w:pStyle w:val="Normal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_____________________________________________________________, </w:t>
      </w:r>
    </w:p>
    <w:p>
      <w:pPr>
        <w:pStyle w:val="Normal"/>
        <w:ind w:firstLine="70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(фамилия, имя, отчество кандидата)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сообщаю о намерении открыть специальный избирательный счет для формирования своего избирательного фонда без личного присутствия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(дистанционно) в </w:t>
      </w:r>
      <w:r>
        <w:rPr>
          <w:sz w:val="27"/>
          <w:szCs w:val="27"/>
        </w:rPr>
        <w:t xml:space="preserve">структурном подразделении</w:t>
      </w:r>
      <w:r>
        <w:rPr>
          <w:sz w:val="27"/>
          <w:szCs w:val="27"/>
        </w:rPr>
        <w:t xml:space="preserve"> ПАО Сбербанк и даю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согласие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_____________________________________________________________________</w:t>
        <w:br w:type="textWrapping" w:clear="all"/>
      </w:r>
      <w:r>
        <w:rPr>
          <w:i/>
          <w:sz w:val="20"/>
          <w:szCs w:val="20"/>
        </w:rPr>
        <w:t xml:space="preserve">                                          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(наименование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ТИК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с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полномочиями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окружной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комиссии)</w:t>
        <w:br w:type="textWrapping" w:clear="all"/>
      </w:r>
      <w:r>
        <w:rPr>
          <w:sz w:val="27"/>
          <w:szCs w:val="27"/>
        </w:rPr>
        <w:t xml:space="preserve">на передачу моих персональных данных, содержащихся в заявлении о согласии баллотироваться: 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фамилия, имя, отчество;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число, месяц и год рождения;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серия и номер паспорта гражданина Российской Федерации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целей открытия специального избирательного счета </w:t>
      </w:r>
      <w:r>
        <w:rPr>
          <w:sz w:val="27"/>
          <w:szCs w:val="27"/>
        </w:rPr>
        <w:t xml:space="preserve">без моего присутствия </w:t>
      </w:r>
      <w:r>
        <w:rPr>
          <w:sz w:val="27"/>
          <w:szCs w:val="27"/>
        </w:rPr>
        <w:t xml:space="preserve">(дистанционно)</w:t>
      </w:r>
      <w:r>
        <w:rPr>
          <w:sz w:val="27"/>
          <w:szCs w:val="27"/>
        </w:rPr>
        <w:t xml:space="preserve"> в структурном подразделении</w:t>
      </w:r>
      <w:r>
        <w:rPr>
          <w:sz w:val="27"/>
          <w:szCs w:val="27"/>
        </w:rPr>
        <w:t xml:space="preserve"> ПАО Сбербанк, а также на получение СМСуведомлений.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_____________________________________________________________________</w:t>
        <w:br w:type="textWrapping" w:clear="all"/>
      </w:r>
      <w:r>
        <w:rPr>
          <w:i/>
          <w:sz w:val="20"/>
          <w:szCs w:val="20"/>
        </w:rPr>
        <w:t xml:space="preserve">                                             </w:t>
      </w:r>
      <w:r>
        <w:rPr>
          <w:i/>
          <w:sz w:val="20"/>
          <w:szCs w:val="20"/>
        </w:rPr>
        <w:t xml:space="preserve">(наименование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ТИК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с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полномочиями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окружной</w:t>
      </w:r>
      <w:r>
        <w:rPr>
          <w:i/>
          <w:sz w:val="20"/>
          <w:szCs w:val="20"/>
        </w:rPr>
        <w:t xml:space="preserve"> </w:t>
      </w:r>
      <w:r>
        <w:rPr>
          <w:i/>
          <w:sz w:val="20"/>
          <w:szCs w:val="20"/>
        </w:rPr>
        <w:t xml:space="preserve">комиссии)</w:t>
        <w:br w:type="textWrapping" w:clear="all"/>
      </w:r>
      <w:r>
        <w:rPr>
          <w:sz w:val="27"/>
          <w:szCs w:val="27"/>
        </w:rPr>
        <w:t xml:space="preserve">имеет право на передачу моих персональных данных публичному акционерн</w:t>
      </w:r>
      <w:r>
        <w:rPr>
          <w:sz w:val="27"/>
          <w:szCs w:val="27"/>
        </w:rPr>
        <w:t xml:space="preserve">ому обществу «Сбербанк России», </w:t>
      </w:r>
      <w:r>
        <w:rPr>
          <w:sz w:val="27"/>
          <w:szCs w:val="27"/>
        </w:rPr>
        <w:t xml:space="preserve">в том числе с использованием машинных н</w:t>
      </w:r>
      <w:r>
        <w:rPr>
          <w:sz w:val="27"/>
          <w:szCs w:val="27"/>
        </w:rPr>
        <w:t xml:space="preserve">осителей информации, по каналам </w:t>
      </w:r>
      <w:r>
        <w:rPr>
          <w:sz w:val="27"/>
          <w:szCs w:val="27"/>
        </w:rPr>
        <w:t xml:space="preserve">связи и (или) в виде бумажных документов с соблюдением мер, обеспечивающих их защиту от несанкционированного доступа.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Соглашаюсь с передачей персональных данных добровольно до____</w:t>
      </w:r>
      <w:r>
        <w:rPr>
          <w:sz w:val="27"/>
          <w:szCs w:val="27"/>
        </w:rPr>
        <w:t xml:space="preserve">_____</w:t>
      </w:r>
      <w:r>
        <w:rPr>
          <w:sz w:val="27"/>
          <w:szCs w:val="27"/>
        </w:rPr>
        <w:t xml:space="preserve">__20</w:t>
      </w:r>
      <w:r>
        <w:rPr>
          <w:sz w:val="27"/>
          <w:szCs w:val="27"/>
        </w:rPr>
        <w:t xml:space="preserve">___ </w:t>
      </w:r>
      <w:r>
        <w:rPr>
          <w:sz w:val="27"/>
          <w:szCs w:val="27"/>
        </w:rPr>
        <w:t xml:space="preserve">года</w:t>
      </w:r>
      <w:r>
        <w:rPr>
          <w:rStyle w:val="FootnoteReference"/>
          <w:sz w:val="27"/>
          <w:szCs w:val="27"/>
        </w:rPr>
        <w:footnoteReference w:id="2"/>
        <w:t xml:space="preserve">*</w:t>
      </w:r>
      <w:r>
        <w:rPr>
          <w:sz w:val="27"/>
          <w:szCs w:val="27"/>
        </w:rPr>
        <w:t xml:space="preserve">.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порядком открытия специального избирательного счета для формирования своего избирательного фонда без личного присутствия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(дистанционно) в </w:t>
      </w:r>
      <w:r>
        <w:rPr>
          <w:sz w:val="27"/>
          <w:szCs w:val="27"/>
        </w:rPr>
        <w:t xml:space="preserve">структурном подразделении </w:t>
      </w:r>
      <w:r>
        <w:rPr>
          <w:sz w:val="27"/>
          <w:szCs w:val="27"/>
        </w:rPr>
        <w:t xml:space="preserve">ПАО Сбербанк ознакомлен и согласен.</w:t>
      </w: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903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60"/>
        <w:gridCol w:w="2551"/>
        <w:gridCol w:w="284"/>
        <w:gridCol w:w="3544"/>
      </w:tblGrid>
      <w:tr>
        <w:trPr/>
        <w:tc>
          <w:tcPr>
            <w:tcW w:w="2660" w:type="dxa"/>
            <w:textDirection w:val="lrTb"/>
            <w:vAlign w:val="top"/>
          </w:tcPr>
          <w:p>
            <w:pPr>
              <w:pStyle w:val="UserStyle_4"/>
              <w:spacing w:before="12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  <w:tc>
          <w:tcPr>
            <w:tcW w:w="284" w:type="dxa"/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/</w:t>
            </w:r>
          </w:p>
        </w:tc>
        <w:tc>
          <w:tcPr>
            <w:tcW w:w="3544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</w:p>
        </w:tc>
      </w:tr>
      <w:tr>
        <w:trPr/>
        <w:tc>
          <w:tcPr>
            <w:tcW w:w="2660" w:type="dxa"/>
            <w:textDirection w:val="lrTb"/>
            <w:vAlign w:val="top"/>
          </w:tcPr>
          <w:p>
            <w:pPr>
              <w:pStyle w:val="UserStyle_4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UserStyle_4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(подпись)</w:t>
            </w:r>
          </w:p>
        </w:tc>
        <w:tc>
          <w:tcPr>
            <w:tcW w:w="284" w:type="dxa"/>
            <w:textDirection w:val="lrTb"/>
            <w:vAlign w:val="bottom"/>
          </w:tcPr>
          <w:p>
            <w:pPr>
              <w:pStyle w:val="UserStyle_4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</w:r>
          </w:p>
        </w:tc>
        <w:tc>
          <w:tcPr>
            <w:tcW w:w="3544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UserStyle_4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(инициалы, фамилия</w:t>
            </w:r>
            <w:r>
              <w:rPr>
                <w:i/>
                <w:sz w:val="20"/>
              </w:rPr>
              <w:t xml:space="preserve"> кандидата</w:t>
            </w:r>
            <w:r>
              <w:rPr>
                <w:i/>
                <w:sz w:val="20"/>
              </w:rPr>
              <w:t xml:space="preserve">)</w:t>
            </w:r>
          </w:p>
        </w:tc>
      </w:tr>
    </w:tbl>
    <w:p>
      <w:pPr>
        <w:pStyle w:val="Normal"/>
        <w:spacing w:before="240"/>
        <w:ind w:right="52"/>
        <w:rPr>
          <w:sz w:val="28"/>
          <w:szCs w:val="28"/>
        </w:rPr>
      </w:pPr>
      <w:r>
        <w:rPr>
          <w:sz w:val="28"/>
          <w:szCs w:val="28"/>
        </w:rPr>
        <w:t xml:space="preserve">«___»__________20__ г.</w:t>
      </w: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</w:p>
    <w:sectPr>
      <w:headerReference w:type="even" r:id="rId8"/>
      <w:headerReference w:type="default" r:id="rId9"/>
      <w:headerReference w:type="first" r:id="rId10"/>
      <w:footerReference w:type="default" r:id="rId11"/>
      <w:type w:val="nextPage"/>
      <w:pgSz w:w="11906" w:h="16838"/>
      <w:pgMar w:top="1134" w:right="851" w:bottom="1418" w:left="1701" w:header="709" w:footer="709" w:gutter="0"/>
      <w:pgNumType w:start="1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Arial">
    <w:panose1 w:val="020B0604020202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id="0">
    <w:p>
      <w:pPr>
        <w:pStyle w:val="FootnoteText"/>
        <w:jc w:val="both"/>
      </w:pPr>
      <w:r>
        <w:rPr>
          <w:rStyle w:val="FootnoteReference"/>
          <w:b/>
        </w:rPr>
        <w:footnoteRef/>
      </w:r>
      <w:r>
        <w:rPr>
          <w:b/>
        </w:rPr>
        <w:t xml:space="preserve"> </w:t>
      </w:r>
      <w:r>
        <w:rPr>
          <w:rStyle w:val="Strong"/>
          <w:b w:val="0"/>
          <w:shd w:val="clear" w:color="auto" w:fill="ffffff"/>
        </w:rPr>
        <w:t xml:space="preserve">Цифровой сервис дистанционного открытия специального избирательного счета кандидата предоставляется</w:t>
      </w:r>
      <w:r>
        <w:rPr>
          <w:shd w:val="clear" w:color="auto" w:fill="ffffff"/>
        </w:rPr>
        <w:t xml:space="preserve"> пользователям </w:t>
      </w:r>
      <w:r>
        <w:t xml:space="preserve">мобильного</w:t>
      </w:r>
      <w:r>
        <w:rPr>
          <w:shd w:val="clear" w:color="auto" w:fill="ffffff"/>
        </w:rPr>
        <w:t xml:space="preserve"> приложения СберБанк Онлайн (приложение может иметь иное наименование). Данная услуга не доступна при использовании web-версии приложения СберБанк Онлайн (на официальном сайте ПАО Сбербанк).</w:t>
      </w:r>
    </w:p>
  </w:footnote>
  <w:footnote w:id="1">
    <w:p>
      <w:pPr>
        <w:pStyle w:val="Normal"/>
        <w:shd w:val="clear" w:color="auto" w:fill="ffffff"/>
        <w:tabs>
          <w:tab w:val="left" w:pos="284" w:leader="none"/>
        </w:tabs>
        <w:jc w:val="both"/>
        <w:rPr>
          <w:b/>
          <w:bCs/>
          <w:sz w:val="20"/>
          <w:szCs w:val="20"/>
        </w:rPr>
      </w:pPr>
      <w:r>
        <w:rPr>
          <w:rStyle w:val="FootnoteReference"/>
          <w:b/>
          <w:bCs/>
          <w:sz w:val="22"/>
          <w:szCs w:val="22"/>
        </w:rPr>
        <w:footnoteRef/>
      </w:r>
      <w:r>
        <w:rPr>
          <w:rStyle w:val="Strong"/>
          <w:b w:val="0"/>
          <w:sz w:val="22"/>
          <w:szCs w:val="22"/>
          <w:shd w:val="clear" w:color="auto" w:fill="ffffff"/>
        </w:rPr>
        <w:t xml:space="preserve"> </w:t>
      </w:r>
      <w:r>
        <w:rPr>
          <w:rStyle w:val="Strong"/>
          <w:b w:val="0"/>
          <w:sz w:val="20"/>
          <w:szCs w:val="20"/>
          <w:shd w:val="clear" w:color="auto" w:fill="ffffff"/>
        </w:rPr>
        <w:t xml:space="preserve">Форма заявления и порядок его подписания устанавливаются правилами банковского обслуживания </w:t>
      </w:r>
      <w:r>
        <w:rPr>
          <w:rStyle w:val="Strong"/>
          <w:b w:val="0"/>
          <w:sz w:val="20"/>
          <w:szCs w:val="20"/>
          <w:shd w:val="clear" w:color="auto" w:fill="ffffff"/>
        </w:rPr>
        <w:br w:type="textWrapping" w:clear="all"/>
      </w:r>
      <w:r>
        <w:rPr>
          <w:rStyle w:val="Strong"/>
          <w:b w:val="0"/>
          <w:sz w:val="20"/>
          <w:szCs w:val="20"/>
          <w:shd w:val="clear" w:color="auto" w:fill="ffffff"/>
        </w:rPr>
        <w:t xml:space="preserve">ПАО Сбербанк.</w:t>
      </w:r>
      <w:r>
        <w:rPr>
          <w:b/>
          <w:bCs/>
          <w:sz w:val="20"/>
          <w:szCs w:val="20"/>
        </w:rPr>
      </w:r>
    </w:p>
    <w:p>
      <w:pPr>
        <w:pStyle w:val="FootnoteText"/>
      </w:pPr>
    </w:p>
  </w:footnote>
  <w:footnote w:id="2">
    <w:p>
      <w:pPr>
        <w:pStyle w:val="FootnoteText"/>
        <w:spacing w:after="0" w:line="240" w:lineRule="auto"/>
        <w:jc w:val="both"/>
      </w:pPr>
      <w:r>
        <w:rPr>
          <w:rStyle w:val="FootnoteReference"/>
        </w:rPr>
        <w:t xml:space="preserve">*</w:t>
      </w:r>
      <w:r>
        <w:footnoteRef/>
        <w:t xml:space="preserve"> Указывается дата не позднее даты окончания периода представления документов, необходимых для регистрации кандидатов на выборах </w:t>
      </w:r>
      <w:r>
        <w:rPr>
          <w:szCs w:val="28"/>
        </w:rPr>
        <w:t xml:space="preserve">депутатов Законодательного Собрания Тверской области </w:t>
      </w:r>
      <w:r>
        <w:t xml:space="preserve">в соответствии с Избирательным </w:t>
      </w:r>
      <w:r>
        <w:t xml:space="preserve">к</w:t>
      </w:r>
      <w:r>
        <w:t xml:space="preserve">одексом Тверской области.».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2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 xml:space="preserve">8</w: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right"/>
      <w:rPr>
        <w:iCs/>
        <w:sz w:val="22"/>
        <w:szCs w:val="22"/>
      </w:rPr>
    </w:pPr>
    <w:r>
      <w:rPr>
        <w:iCs/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suff w:val="tab"/>
      <w:lvlText w:val="%1)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99" w:hanging="390"/>
      </w:pPr>
      <w:rPr>
        <w:sz w:val="28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0"/>
      <w:numFmt w:val="bullet"/>
      <w:suff w:val="tab"/>
      <w:lvlText w:val="-"/>
      <w:lvlJc w:val="left"/>
      <w:pPr>
        <w:pStyle w:val="Normal"/>
        <w:tabs>
          <w:tab w:val="num" w:pos="720" w:leader="none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428" w:leader="none"/>
        </w:tabs>
        <w:ind w:left="142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2148" w:leader="none"/>
        </w:tabs>
        <w:ind w:left="2148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868" w:leader="none"/>
        </w:tabs>
        <w:ind w:left="2868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588" w:leader="none"/>
        </w:tabs>
        <w:ind w:left="3588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308" w:leader="none"/>
        </w:tabs>
        <w:ind w:left="4308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5028" w:leader="none"/>
        </w:tabs>
        <w:ind w:left="5028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748" w:leader="none"/>
        </w:tabs>
        <w:ind w:left="5748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468" w:leader="none"/>
        </w:tabs>
        <w:ind w:left="6468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7188" w:leader="none"/>
        </w:tabs>
        <w:ind w:left="7188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7">
    <w:multiLevelType w:val="hybridMultilevel"/>
    <w:lvl w:ilvl="0">
      <w:start w:val="4"/>
      <w:numFmt w:val="decimal"/>
      <w:suff w:val="tab"/>
      <w:lvlText w:val="%1)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8">
    <w:multiLevelType w:val="hybridMultilevel"/>
    <w:lvl w:ilvl="0">
      <w:start w:val="3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0">
    <w:multiLevelType w:val="hybridMultilevel"/>
    <w:lvl w:ilvl="0">
      <w:start w:val="2"/>
      <w:numFmt w:val="bullet"/>
      <w:suff w:val="tab"/>
      <w:lvlText w:val="-"/>
      <w:lvlJc w:val="left"/>
      <w:pPr>
        <w:pStyle w:val="Normal"/>
        <w:tabs>
          <w:tab w:val="num" w:pos="585" w:leader="none"/>
        </w:tabs>
        <w:ind w:left="585" w:hanging="360"/>
      </w:pPr>
      <w:rPr>
        <w:rFonts w:ascii="Times New Roman" w:hAnsi="Times New Roman" w:eastAsia="Times New Roman" w:cs="Times New Roman"/>
        <w:b/>
      </w:rPr>
    </w:lvl>
    <w:lvl w:ilvl="1">
      <w:start w:val="1"/>
      <w:numFmt w:val="bullet"/>
      <w:suff w:val="tab"/>
      <w:lvlText w:val="o"/>
      <w:lvlJc w:val="left"/>
      <w:pPr>
        <w:pStyle w:val="Normal"/>
        <w:tabs>
          <w:tab w:val="num" w:pos="1305" w:leader="none"/>
        </w:tabs>
        <w:ind w:left="1305" w:hanging="3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pStyle w:val="Normal"/>
        <w:tabs>
          <w:tab w:val="num" w:pos="2025" w:leader="none"/>
        </w:tabs>
        <w:ind w:left="202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745" w:leader="none"/>
        </w:tabs>
        <w:ind w:left="274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pStyle w:val="Normal"/>
        <w:tabs>
          <w:tab w:val="num" w:pos="3465" w:leader="none"/>
        </w:tabs>
        <w:ind w:left="3465" w:hanging="36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pStyle w:val="Normal"/>
        <w:tabs>
          <w:tab w:val="num" w:pos="4185" w:leader="none"/>
        </w:tabs>
        <w:ind w:left="418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4905" w:leader="none"/>
        </w:tabs>
        <w:ind w:left="490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pStyle w:val="Normal"/>
        <w:tabs>
          <w:tab w:val="num" w:pos="5625" w:leader="none"/>
        </w:tabs>
        <w:ind w:left="5625" w:hanging="3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pStyle w:val="Normal"/>
        <w:tabs>
          <w:tab w:val="num" w:pos="6345" w:leader="none"/>
        </w:tabs>
        <w:ind w:left="6345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tabs>
          <w:tab w:val="num" w:pos="2029" w:leader="none"/>
        </w:tabs>
        <w:ind w:left="2029" w:hanging="1320"/>
      </w:p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2378" w:leader="none"/>
        </w:tabs>
        <w:ind w:left="2378" w:hanging="1320"/>
      </w:p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2727" w:leader="none"/>
        </w:tabs>
        <w:ind w:left="2727" w:hanging="1320"/>
      </w:p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3076" w:leader="none"/>
        </w:tabs>
        <w:ind w:left="3076" w:hanging="132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3545" w:leader="none"/>
        </w:tabs>
        <w:ind w:left="3545" w:hanging="144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4254" w:leader="none"/>
        </w:tabs>
        <w:ind w:left="4254" w:hanging="180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4603" w:leader="none"/>
        </w:tabs>
        <w:ind w:left="4603" w:hanging="180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5312" w:leader="none"/>
        </w:tabs>
        <w:ind w:left="5312" w:hanging="216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11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underlineTabInNumList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jc w:val="right"/>
      <w:outlineLvl w:val="0"/>
    </w:pPr>
    <w:rPr>
      <w:sz w:val="28"/>
      <w:szCs w:val="20"/>
    </w:rPr>
  </w:style>
  <w:style w:type="paragraph" w:styleId="Heading2">
    <w:name w:val="Заголовок 2"/>
    <w:basedOn w:val="Normal"/>
    <w:next w:val="Normal"/>
    <w:link w:val="UserStyle_0"/>
    <w:qFormat/>
    <w:pPr>
      <w:keepNext/>
      <w:jc w:val="right"/>
      <w:outlineLvl w:val="1"/>
    </w:pPr>
    <w:rPr>
      <w:sz w:val="28"/>
    </w:rPr>
  </w:style>
  <w:style w:type="paragraph" w:styleId="Heading3">
    <w:name w:val="Заголовок 3"/>
    <w:basedOn w:val="Normal"/>
    <w:next w:val="Normal"/>
    <w:link w:val="Normal"/>
    <w:qFormat/>
    <w:pPr>
      <w:keepNext/>
      <w:outlineLvl w:val="2"/>
    </w:pPr>
    <w:rPr>
      <w:sz w:val="28"/>
      <w:szCs w:val="20"/>
    </w:rPr>
  </w:style>
  <w:style w:type="paragraph" w:styleId="Heading4">
    <w:name w:val="Заголовок 4"/>
    <w:basedOn w:val="Normal"/>
    <w:next w:val="Normal"/>
    <w:link w:val="Normal"/>
    <w:qFormat/>
    <w:pPr>
      <w:keepNext/>
      <w:jc w:val="center"/>
      <w:outlineLvl w:val="3"/>
    </w:pPr>
    <w:rPr>
      <w:sz w:val="28"/>
      <w:szCs w:val="20"/>
    </w:rPr>
  </w:style>
  <w:style w:type="paragraph" w:styleId="Heading5">
    <w:name w:val="Заголовок 5"/>
    <w:basedOn w:val="Normal"/>
    <w:next w:val="Normal"/>
    <w:link w:val="Normal"/>
    <w:qFormat/>
    <w:pPr>
      <w:keepNext/>
      <w:jc w:val="center"/>
      <w:outlineLvl w:val="4"/>
    </w:pPr>
    <w:rPr>
      <w:b/>
      <w:sz w:val="28"/>
      <w:szCs w:val="20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Footer">
    <w:name w:val="Нижний колонтитул"/>
    <w:basedOn w:val="Normal"/>
    <w:next w:val="Footer"/>
    <w:link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UserStyle_1">
    <w:name w:val="Normal1"/>
    <w:next w:val="UserStyle_1"/>
    <w:link w:val="Normal"/>
    <w:pPr>
      <w:widowControl w:val="off"/>
    </w:pPr>
    <w:rPr>
      <w:snapToGrid w:val="0"/>
      <w:lang w:val="ru-RU" w:eastAsia="ru-RU" w:bidi="ar-SA"/>
    </w:rPr>
  </w:style>
  <w:style w:type="paragraph" w:styleId="BodyText">
    <w:name w:val="Основной текст"/>
    <w:basedOn w:val="Normal"/>
    <w:next w:val="BodyText"/>
    <w:link w:val="UserStyle_2"/>
    <w:pPr>
      <w:jc w:val="both"/>
    </w:pPr>
    <w:rPr>
      <w:b/>
      <w:sz w:val="28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center"/>
    </w:pPr>
    <w:rPr>
      <w:b/>
      <w:bCs/>
      <w:sz w:val="28"/>
      <w:szCs w:val="20"/>
    </w:rPr>
  </w:style>
  <w:style w:type="paragraph" w:styleId="BodyText3">
    <w:name w:val="Основной текст 3"/>
    <w:basedOn w:val="Normal"/>
    <w:next w:val="BodyText3"/>
    <w:link w:val="Normal"/>
    <w:pPr>
      <w:jc w:val="both"/>
    </w:pPr>
    <w:rPr>
      <w:sz w:val="28"/>
      <w:szCs w:val="20"/>
    </w:rPr>
  </w:style>
  <w:style w:type="paragraph" w:styleId="BodyTextIndent">
    <w:name w:val="Основной текст с отступом"/>
    <w:basedOn w:val="Normal"/>
    <w:next w:val="BodyTextIndent"/>
    <w:link w:val="Normal"/>
    <w:pPr>
      <w:ind w:left="4536" w:hanging="3816"/>
    </w:pPr>
    <w:rPr>
      <w:sz w:val="28"/>
      <w:szCs w:val="20"/>
    </w:rPr>
  </w:style>
  <w:style w:type="paragraph" w:styleId="BodyTextIndent2">
    <w:name w:val="Основной текст с отступом 2"/>
    <w:basedOn w:val="Normal"/>
    <w:next w:val="BodyTextIndent2"/>
    <w:link w:val="UserStyle_3"/>
    <w:pPr>
      <w:ind w:left="4320" w:hanging="4320"/>
    </w:pPr>
    <w:rPr>
      <w:sz w:val="28"/>
      <w:szCs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tabs>
        <w:tab w:val="left" w:pos="4536" w:leader="none"/>
      </w:tabs>
      <w:ind w:left="4536"/>
    </w:pPr>
    <w:rPr>
      <w:sz w:val="28"/>
      <w:szCs w:val="20"/>
    </w:rPr>
  </w:style>
  <w:style w:type="paragraph" w:styleId="PlainText">
    <w:name w:val="Текст"/>
    <w:basedOn w:val="Normal"/>
    <w:next w:val="PlainText"/>
    <w:link w:val="Normal"/>
    <w:rPr>
      <w:rFonts w:ascii="Courier New" w:hAnsi="Courier New"/>
      <w:sz w:val="20"/>
      <w:szCs w:val="20"/>
    </w:rPr>
  </w:style>
  <w:style w:type="paragraph" w:styleId="UserStyle_4">
    <w:name w:val="ConsNormal"/>
    <w:next w:val="UserStyle_4"/>
    <w:link w:val="Normal"/>
    <w:pPr>
      <w:widowControl w:val="off"/>
      <w:ind w:firstLine="720"/>
    </w:pPr>
    <w:rPr>
      <w:snapToGrid w:val="0"/>
      <w:sz w:val="16"/>
      <w:lang w:val="ru-RU" w:eastAsia="ru-RU" w:bidi="ar-SA"/>
    </w:rPr>
  </w:style>
  <w:style w:type="paragraph" w:styleId="UserStyle_5">
    <w:name w:val="ConsNonformat"/>
    <w:next w:val="UserStyle_5"/>
    <w:link w:val="Normal"/>
    <w:pPr>
      <w:widowControl w:val="off"/>
    </w:pPr>
    <w:rPr>
      <w:rFonts w:ascii="Courier New" w:hAnsi="Courier New"/>
      <w:snapToGrid w:val="0"/>
      <w:sz w:val="16"/>
      <w:lang w:val="ru-RU" w:eastAsia="ru-RU" w:bidi="ar-SA"/>
    </w:rPr>
  </w:style>
  <w:style w:type="paragraph" w:styleId="UserStyle_6">
    <w:name w:val="ConsTitle"/>
    <w:next w:val="UserStyle_6"/>
    <w:link w:val="Normal"/>
    <w:pPr>
      <w:widowControl w:val="off"/>
    </w:pPr>
    <w:rPr>
      <w:rFonts w:ascii="Arial" w:hAnsi="Arial"/>
      <w:b/>
      <w:snapToGrid w:val="0"/>
      <w:sz w:val="14"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Normal"/>
    <w:pPr>
      <w:tabs>
        <w:tab w:val="center" w:pos="4677" w:leader="none"/>
        <w:tab w:val="right" w:pos="9355" w:leader="none"/>
      </w:tabs>
    </w:pPr>
  </w:style>
  <w:style w:type="character" w:styleId="PageNumber">
    <w:name w:val="Номер страницы"/>
    <w:basedOn w:val="NormalCharacter"/>
    <w:next w:val="PageNumber"/>
    <w:link w:val="Normal"/>
  </w:style>
  <w:style w:type="paragraph" w:styleId="Caption">
    <w:name w:val="Название объекта"/>
    <w:basedOn w:val="Normal"/>
    <w:next w:val="Normal"/>
    <w:link w:val="Normal"/>
    <w:qFormat/>
    <w:rPr>
      <w:szCs w:val="20"/>
    </w:rPr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character" w:styleId="UserStyle_7">
    <w:name w:val="Текст Знак"/>
    <w:next w:val="UserStyle_7"/>
    <w:link w:val="Normal"/>
    <w:semiHidden/>
    <w:rPr>
      <w:rFonts w:ascii="Courier New" w:hAnsi="Courier New"/>
    </w:rPr>
  </w:style>
  <w:style w:type="paragraph" w:styleId="Title">
    <w:name w:val="Название"/>
    <w:basedOn w:val="Normal"/>
    <w:next w:val="Title"/>
    <w:link w:val="Normal"/>
    <w:qFormat/>
    <w:pPr>
      <w:ind w:left="3816" w:firstLine="720"/>
      <w:jc w:val="center"/>
    </w:pPr>
    <w:rPr>
      <w:szCs w:val="20"/>
    </w:rPr>
  </w:style>
  <w:style w:type="character" w:styleId="UserStyle_8">
    <w:name w:val="Название Знак"/>
    <w:next w:val="UserStyle_8"/>
    <w:link w:val="Normal"/>
    <w:rPr>
      <w:sz w:val="24"/>
    </w:rPr>
  </w:style>
  <w:style w:type="character" w:styleId="UserStyle_3">
    <w:name w:val="Основной текст с отступом 2 Знак"/>
    <w:next w:val="UserStyle_3"/>
    <w:link w:val="BodyTextIndent2"/>
    <w:rPr>
      <w:sz w:val="28"/>
    </w:rPr>
  </w:style>
  <w:style w:type="paragraph" w:styleId="UserStyle_9">
    <w:name w:val="ConsPlusNormal"/>
    <w:next w:val="UserStyle_9"/>
    <w:link w:val="Normal"/>
    <w:qFormat/>
    <w:pPr>
      <w:widowControl w:val="off"/>
    </w:pPr>
    <w:rPr>
      <w:sz w:val="28"/>
      <w:lang w:val="ru-RU" w:eastAsia="ru-RU" w:bidi="ar-SA"/>
    </w:rPr>
  </w:style>
  <w:style w:type="character" w:styleId="UserStyle_0">
    <w:name w:val="Заголовок 2 Знак"/>
    <w:next w:val="UserStyle_0"/>
    <w:link w:val="Heading2"/>
    <w:rPr>
      <w:sz w:val="28"/>
      <w:szCs w:val="24"/>
    </w:rPr>
  </w:style>
  <w:style w:type="character" w:styleId="UserStyle_2">
    <w:name w:val="Основной текст Знак"/>
    <w:next w:val="UserStyle_2"/>
    <w:link w:val="BodyText"/>
    <w:rPr>
      <w:b/>
      <w:sz w:val="28"/>
    </w:rPr>
  </w:style>
  <w:style w:type="paragraph" w:styleId="FootnoteText">
    <w:name w:val="Текст сноски"/>
    <w:basedOn w:val="Normal"/>
    <w:next w:val="FootnoteText"/>
    <w:link w:val="UserStyle_10"/>
    <w:uiPriority w:val="99"/>
    <w:qFormat/>
    <w:pPr>
      <w:spacing w:after="160" w:line="259" w:lineRule="auto"/>
    </w:pPr>
    <w:rPr>
      <w:sz w:val="20"/>
      <w:szCs w:val="20"/>
      <w:lang w:eastAsia="zh-CN"/>
    </w:rPr>
  </w:style>
  <w:style w:type="character" w:styleId="UserStyle_10">
    <w:name w:val="Текст сноски Знак"/>
    <w:next w:val="UserStyle_10"/>
    <w:link w:val="FootnoteText"/>
    <w:uiPriority w:val="99"/>
    <w:rPr>
      <w:lang w:eastAsia="zh-CN"/>
    </w:rPr>
  </w:style>
  <w:style w:type="character" w:styleId="FootnoteReference">
    <w:name w:val="Знак сноски"/>
    <w:next w:val="FootnoteReference"/>
    <w:link w:val="Normal"/>
    <w:uiPriority w:val="99"/>
    <w:rPr>
      <w:vertAlign w:val="superscript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paragraph" w:styleId="UserStyle_11">
    <w:name w:val="ConsPlusNonformat"/>
    <w:next w:val="UserStyle_11"/>
    <w:link w:val="Normal"/>
    <w:pPr>
      <w:widowControl w:val="off"/>
    </w:pPr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10209</Characters>
  <CharactersWithSpaces>11977</CharactersWithSpaces>
  <Company>``</Company>
  <DocSecurity>0</DocSecurity>
  <HyperlinksChanged>false</HyperlinksChanged>
  <Lines>85</Lines>
  <Pages>8</Pages>
  <Paragraphs>23</Paragraphs>
  <ScaleCrop>false</ScaleCrop>
  <SharedDoc>false</SharedDoc>
  <Template>Normal</Template>
  <Words>1791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`</dc:creator>
  <cp:lastModifiedBy>user</cp:lastModifiedBy>
  <cp:revision>102</cp:revision>
  <dcterms:created xsi:type="dcterms:W3CDTF">2012-11-07T09:00:00Z</dcterms:created>
  <dcterms:modified xsi:type="dcterms:W3CDTF">2026-03-27T13:00:00Z</dcterms:modified>
  <cp:version>917504</cp:version>
</cp:coreProperties>
</file>